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65" w:rsidRPr="008E5065" w:rsidRDefault="008E5065" w:rsidP="008E5065">
      <w:pPr>
        <w:keepNext/>
        <w:spacing w:before="240" w:after="60"/>
        <w:outlineLvl w:val="3"/>
        <w:rPr>
          <w:rFonts w:ascii="Arial" w:eastAsia="Times New Roman" w:hAnsi="Arial" w:cs="Times New Roman"/>
          <w:b/>
          <w:bCs/>
          <w:sz w:val="26"/>
          <w:szCs w:val="28"/>
          <w:lang w:eastAsia="en-GB"/>
        </w:rPr>
      </w:pPr>
      <w:r w:rsidRPr="008E5065">
        <w:rPr>
          <w:rFonts w:ascii="Arial" w:eastAsia="Times New Roman" w:hAnsi="Arial" w:cs="Times New Roman"/>
          <w:b/>
          <w:bCs/>
          <w:sz w:val="26"/>
          <w:szCs w:val="28"/>
          <w:lang w:eastAsia="en-GB"/>
        </w:rPr>
        <w:t>Risk assessed reserves for new CFA</w:t>
      </w:r>
    </w:p>
    <w:p w:rsidR="008E5065" w:rsidRPr="008E5065" w:rsidRDefault="008E5065" w:rsidP="008E5065">
      <w:pPr>
        <w:tabs>
          <w:tab w:val="left" w:pos="360"/>
        </w:tabs>
        <w:spacing w:after="0" w:line="300" w:lineRule="exact"/>
        <w:rPr>
          <w:rFonts w:ascii="Arial" w:eastAsia="Times New Roman" w:hAnsi="Arial" w:cs="Arial"/>
          <w:b/>
          <w:lang w:eastAsia="en-GB"/>
        </w:rPr>
      </w:pPr>
    </w:p>
    <w:tbl>
      <w:tblPr>
        <w:tblW w:w="14659" w:type="dxa"/>
        <w:tblInd w:w="93" w:type="dxa"/>
        <w:tblLook w:val="04A0" w:firstRow="1" w:lastRow="0" w:firstColumn="1" w:lastColumn="0" w:noHBand="0" w:noVBand="1"/>
      </w:tblPr>
      <w:tblGrid>
        <w:gridCol w:w="2850"/>
        <w:gridCol w:w="1135"/>
        <w:gridCol w:w="1144"/>
        <w:gridCol w:w="1268"/>
        <w:gridCol w:w="1552"/>
        <w:gridCol w:w="6710"/>
      </w:tblGrid>
      <w:tr w:rsidR="008E5065" w:rsidRPr="008E5065" w:rsidTr="00D06A76">
        <w:trPr>
          <w:trHeight w:val="300"/>
        </w:trPr>
        <w:tc>
          <w:tcPr>
            <w:tcW w:w="2850" w:type="dxa"/>
            <w:tcBorders>
              <w:top w:val="nil"/>
              <w:left w:val="nil"/>
              <w:bottom w:val="nil"/>
              <w:right w:val="nil"/>
            </w:tcBorders>
            <w:shd w:val="clear" w:color="auto" w:fill="D9D9D9"/>
            <w:vAlign w:val="bottom"/>
            <w:hideMark/>
          </w:tcPr>
          <w:p w:rsidR="008E5065" w:rsidRPr="008E5065" w:rsidRDefault="008E5065" w:rsidP="008E5065">
            <w:pPr>
              <w:spacing w:after="0" w:line="240" w:lineRule="auto"/>
              <w:rPr>
                <w:rFonts w:ascii="Arial" w:eastAsia="Times New Roman" w:hAnsi="Arial" w:cs="Arial"/>
                <w:sz w:val="24"/>
                <w:szCs w:val="24"/>
                <w:lang w:eastAsia="en-GB"/>
              </w:rPr>
            </w:pPr>
          </w:p>
        </w:tc>
        <w:tc>
          <w:tcPr>
            <w:tcW w:w="1135" w:type="dxa"/>
            <w:tcBorders>
              <w:top w:val="nil"/>
              <w:left w:val="nil"/>
              <w:bottom w:val="nil"/>
              <w:right w:val="nil"/>
            </w:tcBorders>
            <w:shd w:val="clear" w:color="auto" w:fill="D9D9D9"/>
            <w:noWrap/>
            <w:vAlign w:val="bottom"/>
            <w:hideMark/>
          </w:tcPr>
          <w:p w:rsidR="008E5065" w:rsidRPr="008E5065" w:rsidRDefault="008E5065" w:rsidP="008E5065">
            <w:pPr>
              <w:spacing w:after="0" w:line="240" w:lineRule="auto"/>
              <w:jc w:val="center"/>
              <w:rPr>
                <w:rFonts w:ascii="Arial" w:eastAsia="Times New Roman" w:hAnsi="Arial" w:cs="Arial"/>
                <w:sz w:val="24"/>
                <w:szCs w:val="24"/>
                <w:lang w:eastAsia="en-GB"/>
              </w:rPr>
            </w:pPr>
            <w:r w:rsidRPr="008E5065">
              <w:rPr>
                <w:rFonts w:ascii="Arial" w:eastAsia="Times New Roman" w:hAnsi="Arial" w:cs="Arial"/>
                <w:b/>
                <w:bCs/>
                <w:sz w:val="24"/>
                <w:szCs w:val="24"/>
                <w:lang w:eastAsia="en-GB"/>
              </w:rPr>
              <w:t>Risk</w:t>
            </w:r>
          </w:p>
        </w:tc>
        <w:tc>
          <w:tcPr>
            <w:tcW w:w="1144" w:type="dxa"/>
            <w:tcBorders>
              <w:top w:val="nil"/>
              <w:left w:val="nil"/>
              <w:bottom w:val="nil"/>
              <w:right w:val="nil"/>
            </w:tcBorders>
            <w:shd w:val="clear" w:color="auto" w:fill="D9D9D9"/>
            <w:noWrap/>
            <w:vAlign w:val="bottom"/>
            <w:hideMark/>
          </w:tcPr>
          <w:p w:rsidR="008E5065" w:rsidRPr="008E5065" w:rsidRDefault="008E5065" w:rsidP="008E5065">
            <w:pPr>
              <w:spacing w:after="0" w:line="240" w:lineRule="auto"/>
              <w:rPr>
                <w:rFonts w:ascii="Arial" w:eastAsia="Times New Roman" w:hAnsi="Arial" w:cs="Arial"/>
                <w:b/>
                <w:sz w:val="24"/>
                <w:szCs w:val="24"/>
                <w:lang w:eastAsia="en-GB"/>
              </w:rPr>
            </w:pPr>
            <w:r w:rsidRPr="008E5065">
              <w:rPr>
                <w:rFonts w:ascii="Arial" w:eastAsia="Times New Roman" w:hAnsi="Arial" w:cs="Arial"/>
                <w:b/>
                <w:sz w:val="24"/>
                <w:szCs w:val="24"/>
                <w:lang w:eastAsia="en-GB"/>
              </w:rPr>
              <w:t>Dorset</w:t>
            </w:r>
          </w:p>
        </w:tc>
        <w:tc>
          <w:tcPr>
            <w:tcW w:w="1268" w:type="dxa"/>
            <w:tcBorders>
              <w:top w:val="nil"/>
              <w:left w:val="nil"/>
              <w:bottom w:val="nil"/>
              <w:right w:val="nil"/>
            </w:tcBorders>
            <w:shd w:val="clear" w:color="auto" w:fill="D9D9D9"/>
            <w:noWrap/>
            <w:vAlign w:val="bottom"/>
            <w:hideMark/>
          </w:tcPr>
          <w:p w:rsidR="008E5065" w:rsidRPr="008E5065" w:rsidRDefault="008E5065" w:rsidP="008E5065">
            <w:pPr>
              <w:spacing w:after="0" w:line="240" w:lineRule="auto"/>
              <w:rPr>
                <w:rFonts w:ascii="Arial" w:eastAsia="Times New Roman" w:hAnsi="Arial" w:cs="Arial"/>
                <w:b/>
                <w:sz w:val="24"/>
                <w:szCs w:val="24"/>
                <w:lang w:eastAsia="en-GB"/>
              </w:rPr>
            </w:pPr>
            <w:r w:rsidRPr="008E5065">
              <w:rPr>
                <w:rFonts w:ascii="Arial" w:eastAsia="Times New Roman" w:hAnsi="Arial" w:cs="Arial"/>
                <w:b/>
                <w:sz w:val="24"/>
                <w:szCs w:val="24"/>
                <w:lang w:eastAsia="en-GB"/>
              </w:rPr>
              <w:t>Wiltshire</w:t>
            </w:r>
          </w:p>
        </w:tc>
        <w:tc>
          <w:tcPr>
            <w:tcW w:w="1552" w:type="dxa"/>
            <w:tcBorders>
              <w:top w:val="nil"/>
              <w:left w:val="nil"/>
              <w:bottom w:val="nil"/>
              <w:right w:val="nil"/>
            </w:tcBorders>
            <w:shd w:val="clear" w:color="auto" w:fill="D9D9D9"/>
            <w:noWrap/>
            <w:vAlign w:val="bottom"/>
            <w:hideMark/>
          </w:tcPr>
          <w:p w:rsidR="008E5065" w:rsidRPr="008E5065" w:rsidRDefault="008E5065" w:rsidP="008E5065">
            <w:pPr>
              <w:spacing w:after="0" w:line="240" w:lineRule="auto"/>
              <w:rPr>
                <w:rFonts w:ascii="Arial" w:eastAsia="Times New Roman" w:hAnsi="Arial" w:cs="Arial"/>
                <w:b/>
                <w:sz w:val="24"/>
                <w:szCs w:val="24"/>
                <w:lang w:eastAsia="en-GB"/>
              </w:rPr>
            </w:pPr>
            <w:r w:rsidRPr="008E5065">
              <w:rPr>
                <w:rFonts w:ascii="Arial" w:eastAsia="Times New Roman" w:hAnsi="Arial" w:cs="Arial"/>
                <w:b/>
                <w:sz w:val="24"/>
                <w:szCs w:val="24"/>
                <w:lang w:eastAsia="en-GB"/>
              </w:rPr>
              <w:t>Combined</w:t>
            </w:r>
          </w:p>
        </w:tc>
        <w:tc>
          <w:tcPr>
            <w:tcW w:w="6710" w:type="dxa"/>
            <w:tcBorders>
              <w:top w:val="nil"/>
              <w:left w:val="nil"/>
              <w:bottom w:val="nil"/>
              <w:right w:val="nil"/>
            </w:tcBorders>
            <w:shd w:val="clear" w:color="auto" w:fill="D9D9D9"/>
            <w:noWrap/>
            <w:vAlign w:val="bottom"/>
            <w:hideMark/>
          </w:tcPr>
          <w:p w:rsidR="008E5065" w:rsidRPr="008E5065" w:rsidRDefault="008E5065" w:rsidP="008E5065">
            <w:pPr>
              <w:spacing w:after="0" w:line="240" w:lineRule="auto"/>
              <w:rPr>
                <w:rFonts w:ascii="Arial" w:eastAsia="Times New Roman" w:hAnsi="Arial" w:cs="Arial"/>
                <w:sz w:val="24"/>
                <w:szCs w:val="24"/>
                <w:lang w:eastAsia="en-GB"/>
              </w:rPr>
            </w:pPr>
            <w:r w:rsidRPr="008E5065">
              <w:rPr>
                <w:rFonts w:ascii="Arial" w:eastAsia="Times New Roman" w:hAnsi="Arial" w:cs="Arial"/>
                <w:b/>
                <w:bCs/>
                <w:sz w:val="24"/>
                <w:szCs w:val="24"/>
                <w:lang w:eastAsia="en-GB"/>
              </w:rPr>
              <w:t>Commentary</w:t>
            </w:r>
          </w:p>
        </w:tc>
      </w:tr>
      <w:tr w:rsidR="008E5065" w:rsidRPr="008E5065" w:rsidTr="00D06A76">
        <w:trPr>
          <w:trHeight w:val="315"/>
        </w:trPr>
        <w:tc>
          <w:tcPr>
            <w:tcW w:w="2850" w:type="dxa"/>
            <w:tcBorders>
              <w:top w:val="nil"/>
              <w:left w:val="nil"/>
              <w:bottom w:val="nil"/>
              <w:right w:val="nil"/>
            </w:tcBorders>
            <w:shd w:val="clear" w:color="auto" w:fill="auto"/>
            <w:vAlign w:val="bottom"/>
            <w:hideMark/>
          </w:tcPr>
          <w:p w:rsidR="008E5065" w:rsidRPr="008E5065" w:rsidRDefault="008E5065" w:rsidP="008E5065">
            <w:pPr>
              <w:spacing w:after="0" w:line="240" w:lineRule="auto"/>
              <w:rPr>
                <w:rFonts w:ascii="Arial" w:eastAsia="Times New Roman" w:hAnsi="Arial" w:cs="Arial"/>
                <w:sz w:val="20"/>
                <w:szCs w:val="20"/>
                <w:lang w:eastAsia="en-GB"/>
              </w:rPr>
            </w:pPr>
          </w:p>
        </w:tc>
        <w:tc>
          <w:tcPr>
            <w:tcW w:w="1135" w:type="dxa"/>
            <w:tcBorders>
              <w:top w:val="nil"/>
              <w:left w:val="nil"/>
              <w:bottom w:val="nil"/>
              <w:right w:val="nil"/>
            </w:tcBorders>
            <w:shd w:val="clear" w:color="auto" w:fill="auto"/>
            <w:noWrap/>
            <w:vAlign w:val="bottom"/>
            <w:hideMark/>
          </w:tcPr>
          <w:p w:rsidR="008E5065" w:rsidRPr="008E5065" w:rsidRDefault="008E5065" w:rsidP="008E5065">
            <w:pPr>
              <w:spacing w:after="0" w:line="240" w:lineRule="auto"/>
              <w:jc w:val="center"/>
              <w:rPr>
                <w:rFonts w:ascii="Arial" w:eastAsia="Times New Roman" w:hAnsi="Arial" w:cs="Arial"/>
                <w:b/>
                <w:bCs/>
                <w:sz w:val="20"/>
                <w:szCs w:val="20"/>
                <w:lang w:eastAsia="en-GB"/>
              </w:rPr>
            </w:pPr>
          </w:p>
        </w:tc>
        <w:tc>
          <w:tcPr>
            <w:tcW w:w="1144" w:type="dxa"/>
            <w:tcBorders>
              <w:top w:val="nil"/>
              <w:left w:val="nil"/>
              <w:bottom w:val="nil"/>
              <w:right w:val="nil"/>
            </w:tcBorders>
            <w:shd w:val="clear" w:color="auto" w:fill="auto"/>
            <w:noWrap/>
            <w:vAlign w:val="bottom"/>
            <w:hideMark/>
          </w:tcPr>
          <w:p w:rsidR="008E5065" w:rsidRPr="008E5065" w:rsidRDefault="008E5065" w:rsidP="008E5065">
            <w:pPr>
              <w:spacing w:after="0" w:line="240" w:lineRule="auto"/>
              <w:jc w:val="right"/>
              <w:rPr>
                <w:rFonts w:ascii="Arial" w:eastAsia="Times New Roman" w:hAnsi="Arial" w:cs="Arial"/>
                <w:b/>
                <w:bCs/>
                <w:sz w:val="20"/>
                <w:szCs w:val="20"/>
                <w:lang w:eastAsia="en-GB"/>
              </w:rPr>
            </w:pPr>
            <w:r w:rsidRPr="008E5065">
              <w:rPr>
                <w:rFonts w:ascii="Arial" w:eastAsia="Times New Roman" w:hAnsi="Arial" w:cs="Arial"/>
                <w:b/>
                <w:bCs/>
                <w:sz w:val="20"/>
                <w:szCs w:val="20"/>
                <w:lang w:eastAsia="en-GB"/>
              </w:rPr>
              <w:t>2015/16</w:t>
            </w:r>
          </w:p>
        </w:tc>
        <w:tc>
          <w:tcPr>
            <w:tcW w:w="1268" w:type="dxa"/>
            <w:tcBorders>
              <w:top w:val="nil"/>
              <w:left w:val="nil"/>
              <w:bottom w:val="nil"/>
              <w:right w:val="nil"/>
            </w:tcBorders>
            <w:shd w:val="clear" w:color="auto" w:fill="auto"/>
            <w:noWrap/>
            <w:vAlign w:val="bottom"/>
            <w:hideMark/>
          </w:tcPr>
          <w:p w:rsidR="008E5065" w:rsidRPr="008E5065" w:rsidRDefault="008E5065" w:rsidP="008E5065">
            <w:pPr>
              <w:spacing w:after="0" w:line="240" w:lineRule="auto"/>
              <w:jc w:val="right"/>
              <w:rPr>
                <w:rFonts w:ascii="Arial" w:eastAsia="Times New Roman" w:hAnsi="Arial" w:cs="Arial"/>
                <w:b/>
                <w:bCs/>
                <w:sz w:val="20"/>
                <w:szCs w:val="20"/>
                <w:lang w:eastAsia="en-GB"/>
              </w:rPr>
            </w:pPr>
            <w:r w:rsidRPr="008E5065">
              <w:rPr>
                <w:rFonts w:ascii="Arial" w:eastAsia="Times New Roman" w:hAnsi="Arial" w:cs="Arial"/>
                <w:b/>
                <w:bCs/>
                <w:sz w:val="20"/>
                <w:szCs w:val="20"/>
                <w:lang w:eastAsia="en-GB"/>
              </w:rPr>
              <w:t>2015/16</w:t>
            </w:r>
          </w:p>
        </w:tc>
        <w:tc>
          <w:tcPr>
            <w:tcW w:w="1552" w:type="dxa"/>
            <w:tcBorders>
              <w:top w:val="nil"/>
              <w:left w:val="nil"/>
              <w:bottom w:val="nil"/>
              <w:right w:val="nil"/>
            </w:tcBorders>
            <w:shd w:val="clear" w:color="auto" w:fill="auto"/>
            <w:noWrap/>
            <w:vAlign w:val="bottom"/>
            <w:hideMark/>
          </w:tcPr>
          <w:p w:rsidR="008E5065" w:rsidRPr="008E5065" w:rsidRDefault="008E5065" w:rsidP="008E5065">
            <w:pPr>
              <w:spacing w:after="0" w:line="240" w:lineRule="auto"/>
              <w:jc w:val="right"/>
              <w:rPr>
                <w:rFonts w:ascii="Arial" w:eastAsia="Times New Roman" w:hAnsi="Arial" w:cs="Arial"/>
                <w:b/>
                <w:bCs/>
                <w:sz w:val="20"/>
                <w:szCs w:val="20"/>
                <w:lang w:eastAsia="en-GB"/>
              </w:rPr>
            </w:pPr>
            <w:r w:rsidRPr="008E5065">
              <w:rPr>
                <w:rFonts w:ascii="Arial" w:eastAsia="Times New Roman" w:hAnsi="Arial" w:cs="Arial"/>
                <w:b/>
                <w:bCs/>
                <w:sz w:val="20"/>
                <w:szCs w:val="20"/>
                <w:lang w:eastAsia="en-GB"/>
              </w:rPr>
              <w:t>2015/16</w:t>
            </w:r>
          </w:p>
        </w:tc>
        <w:tc>
          <w:tcPr>
            <w:tcW w:w="6710" w:type="dxa"/>
            <w:tcBorders>
              <w:top w:val="nil"/>
              <w:left w:val="nil"/>
              <w:bottom w:val="nil"/>
              <w:right w:val="nil"/>
            </w:tcBorders>
            <w:shd w:val="clear" w:color="auto" w:fill="auto"/>
            <w:noWrap/>
            <w:vAlign w:val="bottom"/>
            <w:hideMark/>
          </w:tcPr>
          <w:p w:rsidR="008E5065" w:rsidRPr="008E5065" w:rsidRDefault="008E5065" w:rsidP="008E5065">
            <w:pPr>
              <w:spacing w:after="0" w:line="240" w:lineRule="auto"/>
              <w:rPr>
                <w:rFonts w:ascii="Arial" w:eastAsia="Times New Roman" w:hAnsi="Arial" w:cs="Arial"/>
                <w:b/>
                <w:bCs/>
                <w:sz w:val="20"/>
                <w:szCs w:val="20"/>
                <w:lang w:eastAsia="en-GB"/>
              </w:rPr>
            </w:pPr>
          </w:p>
        </w:tc>
      </w:tr>
      <w:tr w:rsidR="008E5065" w:rsidRPr="008E5065" w:rsidTr="00D06A76">
        <w:trPr>
          <w:trHeight w:val="600"/>
        </w:trPr>
        <w:tc>
          <w:tcPr>
            <w:tcW w:w="2850" w:type="dxa"/>
            <w:tcBorders>
              <w:top w:val="nil"/>
              <w:left w:val="nil"/>
              <w:bottom w:val="nil"/>
              <w:right w:val="nil"/>
            </w:tcBorders>
            <w:shd w:val="clear" w:color="auto" w:fill="auto"/>
            <w:vAlign w:val="bottom"/>
            <w:hideMark/>
          </w:tcPr>
          <w:p w:rsidR="008E5065" w:rsidRPr="008E5065" w:rsidRDefault="008E5065" w:rsidP="008E5065">
            <w:pPr>
              <w:spacing w:after="0" w:line="240" w:lineRule="auto"/>
              <w:rPr>
                <w:rFonts w:ascii="Arial" w:eastAsia="Times New Roman" w:hAnsi="Arial" w:cs="Arial"/>
                <w:sz w:val="20"/>
                <w:szCs w:val="20"/>
                <w:lang w:eastAsia="en-GB"/>
              </w:rPr>
            </w:pPr>
          </w:p>
        </w:tc>
        <w:tc>
          <w:tcPr>
            <w:tcW w:w="1135" w:type="dxa"/>
            <w:tcBorders>
              <w:top w:val="nil"/>
              <w:left w:val="nil"/>
              <w:bottom w:val="nil"/>
              <w:right w:val="nil"/>
            </w:tcBorders>
            <w:shd w:val="clear" w:color="auto" w:fill="auto"/>
            <w:noWrap/>
            <w:vAlign w:val="bottom"/>
            <w:hideMark/>
          </w:tcPr>
          <w:p w:rsidR="008E5065" w:rsidRPr="008E5065" w:rsidRDefault="008E5065" w:rsidP="008E5065">
            <w:pPr>
              <w:spacing w:after="0" w:line="240" w:lineRule="auto"/>
              <w:jc w:val="center"/>
              <w:rPr>
                <w:rFonts w:ascii="Arial" w:eastAsia="Times New Roman" w:hAnsi="Arial" w:cs="Arial"/>
                <w:sz w:val="20"/>
                <w:szCs w:val="20"/>
                <w:lang w:eastAsia="en-GB"/>
              </w:rPr>
            </w:pPr>
          </w:p>
        </w:tc>
        <w:tc>
          <w:tcPr>
            <w:tcW w:w="1144" w:type="dxa"/>
            <w:tcBorders>
              <w:top w:val="nil"/>
              <w:left w:val="nil"/>
              <w:bottom w:val="nil"/>
              <w:right w:val="nil"/>
            </w:tcBorders>
            <w:shd w:val="clear" w:color="auto" w:fill="auto"/>
            <w:noWrap/>
            <w:vAlign w:val="bottom"/>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£'000s</w:t>
            </w:r>
          </w:p>
        </w:tc>
        <w:tc>
          <w:tcPr>
            <w:tcW w:w="1268" w:type="dxa"/>
            <w:tcBorders>
              <w:top w:val="nil"/>
              <w:left w:val="nil"/>
              <w:bottom w:val="nil"/>
              <w:right w:val="nil"/>
            </w:tcBorders>
            <w:shd w:val="clear" w:color="auto" w:fill="auto"/>
            <w:noWrap/>
            <w:vAlign w:val="bottom"/>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£'000s</w:t>
            </w:r>
          </w:p>
        </w:tc>
        <w:tc>
          <w:tcPr>
            <w:tcW w:w="1552" w:type="dxa"/>
            <w:tcBorders>
              <w:top w:val="nil"/>
              <w:left w:val="nil"/>
              <w:bottom w:val="nil"/>
              <w:right w:val="nil"/>
            </w:tcBorders>
            <w:shd w:val="clear" w:color="auto" w:fill="auto"/>
            <w:noWrap/>
            <w:vAlign w:val="bottom"/>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£'000s</w:t>
            </w:r>
          </w:p>
        </w:tc>
        <w:tc>
          <w:tcPr>
            <w:tcW w:w="6710" w:type="dxa"/>
            <w:tcBorders>
              <w:top w:val="nil"/>
              <w:left w:val="nil"/>
              <w:bottom w:val="nil"/>
              <w:right w:val="nil"/>
            </w:tcBorders>
            <w:shd w:val="clear" w:color="auto" w:fill="auto"/>
            <w:noWrap/>
            <w:vAlign w:val="bottom"/>
            <w:hideMark/>
          </w:tcPr>
          <w:p w:rsidR="008E5065" w:rsidRPr="008E5065" w:rsidRDefault="008E5065" w:rsidP="008E5065">
            <w:pPr>
              <w:spacing w:after="0" w:line="240" w:lineRule="auto"/>
              <w:rPr>
                <w:rFonts w:ascii="Arial" w:eastAsia="Times New Roman" w:hAnsi="Arial" w:cs="Arial"/>
                <w:sz w:val="20"/>
                <w:szCs w:val="20"/>
                <w:lang w:eastAsia="en-GB"/>
              </w:rPr>
            </w:pPr>
          </w:p>
        </w:tc>
      </w:tr>
      <w:tr w:rsidR="008E5065" w:rsidRPr="008E5065" w:rsidTr="00D06A76">
        <w:trPr>
          <w:trHeight w:val="1514"/>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 xml:space="preserve">Underestimate of pay awards by 1.0% </w:t>
            </w:r>
          </w:p>
        </w:tc>
        <w:tc>
          <w:tcPr>
            <w:tcW w:w="1135" w:type="dxa"/>
            <w:tcBorders>
              <w:top w:val="single" w:sz="4" w:space="0" w:color="auto"/>
              <w:left w:val="nil"/>
              <w:bottom w:val="single" w:sz="4" w:space="0" w:color="auto"/>
              <w:right w:val="single" w:sz="4" w:space="0" w:color="auto"/>
            </w:tcBorders>
            <w:shd w:val="clear" w:color="000000" w:fill="FF0000"/>
            <w:hideMark/>
          </w:tcPr>
          <w:p w:rsidR="008E5065" w:rsidRPr="008E5065" w:rsidRDefault="008E5065" w:rsidP="008E5065">
            <w:pPr>
              <w:spacing w:after="0" w:line="240" w:lineRule="auto"/>
              <w:jc w:val="center"/>
              <w:rPr>
                <w:rFonts w:ascii="Arial" w:eastAsia="Times New Roman" w:hAnsi="Arial" w:cs="Arial"/>
                <w:sz w:val="20"/>
                <w:szCs w:val="20"/>
                <w:lang w:eastAsia="en-GB"/>
              </w:rPr>
            </w:pPr>
            <w:r w:rsidRPr="008E5065">
              <w:rPr>
                <w:rFonts w:ascii="Arial" w:eastAsia="Times New Roman" w:hAnsi="Arial" w:cs="Arial"/>
                <w:sz w:val="20"/>
                <w:szCs w:val="20"/>
                <w:lang w:eastAsia="en-GB"/>
              </w:rPr>
              <w:t>High</w:t>
            </w:r>
          </w:p>
        </w:tc>
        <w:tc>
          <w:tcPr>
            <w:tcW w:w="1144" w:type="dxa"/>
            <w:tcBorders>
              <w:top w:val="single" w:sz="4" w:space="0" w:color="auto"/>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230</w:t>
            </w:r>
          </w:p>
        </w:tc>
        <w:tc>
          <w:tcPr>
            <w:tcW w:w="1268" w:type="dxa"/>
            <w:tcBorders>
              <w:top w:val="single" w:sz="4" w:space="0" w:color="auto"/>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180</w:t>
            </w:r>
          </w:p>
        </w:tc>
        <w:tc>
          <w:tcPr>
            <w:tcW w:w="1552" w:type="dxa"/>
            <w:tcBorders>
              <w:top w:val="single" w:sz="4" w:space="0" w:color="auto"/>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400</w:t>
            </w:r>
          </w:p>
        </w:tc>
        <w:tc>
          <w:tcPr>
            <w:tcW w:w="6710" w:type="dxa"/>
            <w:tcBorders>
              <w:top w:val="single" w:sz="4" w:space="0" w:color="auto"/>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ind w:left="33"/>
              <w:rPr>
                <w:rFonts w:ascii="Arial" w:eastAsia="Times New Roman" w:hAnsi="Arial" w:cs="Arial"/>
                <w:sz w:val="20"/>
                <w:szCs w:val="20"/>
                <w:lang w:eastAsia="en-GB"/>
              </w:rPr>
            </w:pPr>
            <w:r w:rsidRPr="008E5065">
              <w:rPr>
                <w:rFonts w:ascii="Arial" w:eastAsia="Times New Roman" w:hAnsi="Arial" w:cs="Arial"/>
                <w:sz w:val="20"/>
                <w:szCs w:val="20"/>
                <w:lang w:eastAsia="en-GB"/>
              </w:rPr>
              <w:t>The revenue budget allows for pay awards of 2% from 2015/16 onwards. Given that there have already been several years of pay restraint and inflation is still running above the Government’s target of 2%, it would be prudent to recognise this as a high financial risk.  £400k would cover the full year effect of a 1% variation across all staffing groups given a combined pay budget of around £40m.</w:t>
            </w:r>
          </w:p>
        </w:tc>
      </w:tr>
      <w:tr w:rsidR="008E5065" w:rsidRPr="008E5065" w:rsidTr="00D06A76">
        <w:trPr>
          <w:trHeight w:val="2132"/>
        </w:trPr>
        <w:tc>
          <w:tcPr>
            <w:tcW w:w="2850" w:type="dxa"/>
            <w:tcBorders>
              <w:top w:val="nil"/>
              <w:left w:val="single" w:sz="4" w:space="0" w:color="auto"/>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Impact on the retained pay budget of large scale incidents or others periods of high activity such as those due to spate weather conditions</w:t>
            </w:r>
          </w:p>
        </w:tc>
        <w:tc>
          <w:tcPr>
            <w:tcW w:w="1135" w:type="dxa"/>
            <w:tcBorders>
              <w:top w:val="nil"/>
              <w:left w:val="nil"/>
              <w:bottom w:val="single" w:sz="4" w:space="0" w:color="auto"/>
              <w:right w:val="single" w:sz="4" w:space="0" w:color="auto"/>
            </w:tcBorders>
            <w:shd w:val="clear" w:color="000000" w:fill="FF0000"/>
            <w:hideMark/>
          </w:tcPr>
          <w:p w:rsidR="008E5065" w:rsidRPr="008E5065" w:rsidRDefault="008E5065" w:rsidP="008E5065">
            <w:pPr>
              <w:spacing w:after="0" w:line="240" w:lineRule="auto"/>
              <w:jc w:val="center"/>
              <w:rPr>
                <w:rFonts w:ascii="Arial" w:eastAsia="Times New Roman" w:hAnsi="Arial" w:cs="Arial"/>
                <w:sz w:val="20"/>
                <w:szCs w:val="20"/>
                <w:lang w:eastAsia="en-GB"/>
              </w:rPr>
            </w:pPr>
            <w:r w:rsidRPr="008E5065">
              <w:rPr>
                <w:rFonts w:ascii="Arial" w:eastAsia="Times New Roman" w:hAnsi="Arial" w:cs="Arial"/>
                <w:sz w:val="20"/>
                <w:szCs w:val="20"/>
                <w:lang w:eastAsia="en-GB"/>
              </w:rPr>
              <w:t>High</w:t>
            </w:r>
          </w:p>
        </w:tc>
        <w:tc>
          <w:tcPr>
            <w:tcW w:w="1144"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300</w:t>
            </w:r>
          </w:p>
        </w:tc>
        <w:tc>
          <w:tcPr>
            <w:tcW w:w="1268"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230</w:t>
            </w:r>
          </w:p>
        </w:tc>
        <w:tc>
          <w:tcPr>
            <w:tcW w:w="1552"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400</w:t>
            </w:r>
          </w:p>
        </w:tc>
        <w:tc>
          <w:tcPr>
            <w:tcW w:w="6710"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These sorts of events can all lead to significant increases in operational activity.  As a largely retained, “pay as you go” services, this represents a particular risk to Dorset and Wiltshire and allowance needs to be made for increased activity and costs by retained firefighters.  The joint budget for retained activity paid for on an activity basis is approximately £2.7m, so £400k represents around a 15% variation.</w:t>
            </w:r>
          </w:p>
        </w:tc>
      </w:tr>
      <w:tr w:rsidR="008E5065" w:rsidRPr="008E5065" w:rsidTr="00D06A76">
        <w:trPr>
          <w:trHeight w:val="1320"/>
        </w:trPr>
        <w:tc>
          <w:tcPr>
            <w:tcW w:w="2850" w:type="dxa"/>
            <w:tcBorders>
              <w:top w:val="nil"/>
              <w:left w:val="single" w:sz="4" w:space="0" w:color="auto"/>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Recruitment of Retained Duty System (RDS) personnel to full establishment  levels</w:t>
            </w:r>
          </w:p>
        </w:tc>
        <w:tc>
          <w:tcPr>
            <w:tcW w:w="1135" w:type="dxa"/>
            <w:tcBorders>
              <w:top w:val="nil"/>
              <w:left w:val="nil"/>
              <w:bottom w:val="single" w:sz="4" w:space="0" w:color="auto"/>
              <w:right w:val="single" w:sz="4" w:space="0" w:color="auto"/>
            </w:tcBorders>
            <w:shd w:val="clear" w:color="auto" w:fill="00B050"/>
            <w:hideMark/>
          </w:tcPr>
          <w:p w:rsidR="008E5065" w:rsidRPr="008E5065" w:rsidRDefault="008E5065" w:rsidP="008E5065">
            <w:pPr>
              <w:spacing w:after="0" w:line="240" w:lineRule="auto"/>
              <w:jc w:val="center"/>
              <w:rPr>
                <w:rFonts w:ascii="Arial" w:eastAsia="Times New Roman" w:hAnsi="Arial" w:cs="Arial"/>
                <w:sz w:val="20"/>
                <w:szCs w:val="20"/>
                <w:lang w:eastAsia="en-GB"/>
              </w:rPr>
            </w:pPr>
            <w:r w:rsidRPr="008E5065">
              <w:rPr>
                <w:rFonts w:ascii="Arial" w:eastAsia="Times New Roman" w:hAnsi="Arial" w:cs="Arial"/>
                <w:sz w:val="20"/>
                <w:szCs w:val="20"/>
                <w:lang w:eastAsia="en-GB"/>
              </w:rPr>
              <w:t>Low</w:t>
            </w:r>
          </w:p>
        </w:tc>
        <w:tc>
          <w:tcPr>
            <w:tcW w:w="1144"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150</w:t>
            </w:r>
          </w:p>
        </w:tc>
        <w:tc>
          <w:tcPr>
            <w:tcW w:w="1268"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0</w:t>
            </w:r>
          </w:p>
        </w:tc>
        <w:tc>
          <w:tcPr>
            <w:tcW w:w="1552"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0</w:t>
            </w:r>
          </w:p>
        </w:tc>
        <w:tc>
          <w:tcPr>
            <w:tcW w:w="6710"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 xml:space="preserve">For Dorset this represents around 10% of the annual budget provision.  Given the continued difficulties faced by FRS's in recruiting and retaining RDS staff this risk is </w:t>
            </w:r>
            <w:proofErr w:type="spellStart"/>
            <w:r w:rsidRPr="008E5065">
              <w:rPr>
                <w:rFonts w:ascii="Arial" w:eastAsia="Times New Roman" w:hAnsi="Arial" w:cs="Arial"/>
                <w:sz w:val="20"/>
                <w:szCs w:val="20"/>
                <w:lang w:eastAsia="en-GB"/>
              </w:rPr>
              <w:t>un</w:t>
            </w:r>
            <w:r w:rsidRPr="008E5065">
              <w:rPr>
                <w:rFonts w:ascii="Arial" w:eastAsia="Times New Roman" w:hAnsi="Arial" w:cs="Arial"/>
                <w:b/>
                <w:i/>
                <w:smallCaps/>
                <w:sz w:val="24"/>
                <w:szCs w:val="20"/>
                <w:lang w:eastAsia="en-GB"/>
              </w:rPr>
              <w:t>Likely</w:t>
            </w:r>
            <w:proofErr w:type="spellEnd"/>
            <w:r w:rsidRPr="008E5065">
              <w:rPr>
                <w:rFonts w:ascii="Arial" w:eastAsia="Times New Roman" w:hAnsi="Arial" w:cs="Arial"/>
                <w:sz w:val="20"/>
                <w:szCs w:val="20"/>
                <w:lang w:eastAsia="en-GB"/>
              </w:rPr>
              <w:t xml:space="preserve"> to materialise and has been removed from the combined risk assessment.</w:t>
            </w:r>
          </w:p>
        </w:tc>
      </w:tr>
      <w:tr w:rsidR="008E5065" w:rsidRPr="008E5065" w:rsidTr="00D06A76">
        <w:trPr>
          <w:trHeight w:val="1163"/>
        </w:trPr>
        <w:tc>
          <w:tcPr>
            <w:tcW w:w="2850" w:type="dxa"/>
            <w:tcBorders>
              <w:top w:val="nil"/>
              <w:left w:val="single" w:sz="4" w:space="0" w:color="auto"/>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 xml:space="preserve">Risk of industrial action/inability to respond to emergency incidents </w:t>
            </w:r>
          </w:p>
        </w:tc>
        <w:tc>
          <w:tcPr>
            <w:tcW w:w="1135" w:type="dxa"/>
            <w:tcBorders>
              <w:top w:val="nil"/>
              <w:left w:val="nil"/>
              <w:bottom w:val="single" w:sz="4" w:space="0" w:color="auto"/>
              <w:right w:val="single" w:sz="4" w:space="0" w:color="auto"/>
            </w:tcBorders>
            <w:shd w:val="clear" w:color="000000" w:fill="FF0000"/>
            <w:hideMark/>
          </w:tcPr>
          <w:p w:rsidR="008E5065" w:rsidRPr="008E5065" w:rsidRDefault="008E5065" w:rsidP="008E5065">
            <w:pPr>
              <w:spacing w:after="0" w:line="240" w:lineRule="auto"/>
              <w:jc w:val="center"/>
              <w:rPr>
                <w:rFonts w:ascii="Arial" w:eastAsia="Times New Roman" w:hAnsi="Arial" w:cs="Arial"/>
                <w:sz w:val="20"/>
                <w:szCs w:val="20"/>
                <w:lang w:eastAsia="en-GB"/>
              </w:rPr>
            </w:pPr>
            <w:r w:rsidRPr="008E5065">
              <w:rPr>
                <w:rFonts w:ascii="Arial" w:eastAsia="Times New Roman" w:hAnsi="Arial" w:cs="Arial"/>
                <w:sz w:val="20"/>
                <w:szCs w:val="20"/>
                <w:lang w:eastAsia="en-GB"/>
              </w:rPr>
              <w:t>High</w:t>
            </w:r>
          </w:p>
        </w:tc>
        <w:tc>
          <w:tcPr>
            <w:tcW w:w="1144"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100</w:t>
            </w:r>
          </w:p>
        </w:tc>
        <w:tc>
          <w:tcPr>
            <w:tcW w:w="1268"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100</w:t>
            </w:r>
          </w:p>
        </w:tc>
        <w:tc>
          <w:tcPr>
            <w:tcW w:w="1552"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250</w:t>
            </w:r>
          </w:p>
        </w:tc>
        <w:tc>
          <w:tcPr>
            <w:tcW w:w="6710"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This continues to be a very high risk given the financial pressures on all public sector organisations, the likelihood of further cuts in funding and potential for service changes, public sector pay freezes and changes to public sector pensions.  Amount based on historic costs 2013/14.</w:t>
            </w:r>
          </w:p>
        </w:tc>
      </w:tr>
      <w:tr w:rsidR="008E5065" w:rsidRPr="008E5065" w:rsidTr="00D06A76">
        <w:trPr>
          <w:trHeight w:val="961"/>
        </w:trPr>
        <w:tc>
          <w:tcPr>
            <w:tcW w:w="2850" w:type="dxa"/>
            <w:tcBorders>
              <w:top w:val="nil"/>
              <w:left w:val="single" w:sz="4" w:space="0" w:color="auto"/>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lastRenderedPageBreak/>
              <w:t xml:space="preserve">Failure to adequately provide for non-pay inflation </w:t>
            </w:r>
          </w:p>
        </w:tc>
        <w:tc>
          <w:tcPr>
            <w:tcW w:w="1135" w:type="dxa"/>
            <w:tcBorders>
              <w:top w:val="nil"/>
              <w:left w:val="nil"/>
              <w:bottom w:val="single" w:sz="4" w:space="0" w:color="auto"/>
              <w:right w:val="single" w:sz="4" w:space="0" w:color="auto"/>
            </w:tcBorders>
            <w:shd w:val="clear" w:color="auto" w:fill="00B050"/>
            <w:hideMark/>
          </w:tcPr>
          <w:p w:rsidR="008E5065" w:rsidRPr="008E5065" w:rsidRDefault="008E5065" w:rsidP="008E5065">
            <w:pPr>
              <w:spacing w:after="0" w:line="240" w:lineRule="auto"/>
              <w:jc w:val="center"/>
              <w:rPr>
                <w:rFonts w:ascii="Arial" w:eastAsia="Times New Roman" w:hAnsi="Arial" w:cs="Arial"/>
                <w:sz w:val="20"/>
                <w:szCs w:val="20"/>
                <w:lang w:eastAsia="en-GB"/>
              </w:rPr>
            </w:pPr>
            <w:r w:rsidRPr="008E5065">
              <w:rPr>
                <w:rFonts w:ascii="Arial" w:eastAsia="Times New Roman" w:hAnsi="Arial" w:cs="Arial"/>
                <w:sz w:val="20"/>
                <w:szCs w:val="20"/>
                <w:lang w:eastAsia="en-GB"/>
              </w:rPr>
              <w:t>Low</w:t>
            </w:r>
          </w:p>
        </w:tc>
        <w:tc>
          <w:tcPr>
            <w:tcW w:w="1144"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30</w:t>
            </w:r>
          </w:p>
        </w:tc>
        <w:tc>
          <w:tcPr>
            <w:tcW w:w="1268"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50</w:t>
            </w:r>
          </w:p>
        </w:tc>
        <w:tc>
          <w:tcPr>
            <w:tcW w:w="1552"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100</w:t>
            </w:r>
          </w:p>
        </w:tc>
        <w:tc>
          <w:tcPr>
            <w:tcW w:w="6710"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Our budgets allow for a very small element of general price inflation as well as specific contractual inflation in certain circumstances, however in the main, budgets are cash limited with no inflationary increase.  This is not sustainable in the longer term.</w:t>
            </w:r>
          </w:p>
        </w:tc>
      </w:tr>
      <w:tr w:rsidR="008E5065" w:rsidRPr="008E5065" w:rsidTr="00D06A76">
        <w:trPr>
          <w:trHeight w:val="2100"/>
        </w:trPr>
        <w:tc>
          <w:tcPr>
            <w:tcW w:w="2850" w:type="dxa"/>
            <w:tcBorders>
              <w:top w:val="nil"/>
              <w:left w:val="single" w:sz="4" w:space="0" w:color="auto"/>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Increase in employer contribution rate for the 1992 Firefighters Pension Scheme and 2006 New Firefighters Pension Scheme</w:t>
            </w:r>
          </w:p>
        </w:tc>
        <w:tc>
          <w:tcPr>
            <w:tcW w:w="1135" w:type="dxa"/>
            <w:tcBorders>
              <w:top w:val="nil"/>
              <w:left w:val="nil"/>
              <w:bottom w:val="single" w:sz="4" w:space="0" w:color="auto"/>
              <w:right w:val="single" w:sz="4" w:space="0" w:color="auto"/>
            </w:tcBorders>
            <w:shd w:val="clear" w:color="000000" w:fill="FFC000"/>
            <w:hideMark/>
          </w:tcPr>
          <w:p w:rsidR="008E5065" w:rsidRPr="008E5065" w:rsidRDefault="008E5065" w:rsidP="008E5065">
            <w:pPr>
              <w:spacing w:after="0" w:line="240" w:lineRule="auto"/>
              <w:jc w:val="center"/>
              <w:rPr>
                <w:rFonts w:ascii="Arial" w:eastAsia="Times New Roman" w:hAnsi="Arial" w:cs="Arial"/>
                <w:sz w:val="20"/>
                <w:szCs w:val="20"/>
                <w:lang w:eastAsia="en-GB"/>
              </w:rPr>
            </w:pPr>
            <w:r w:rsidRPr="008E5065">
              <w:rPr>
                <w:rFonts w:ascii="Arial" w:eastAsia="Times New Roman" w:hAnsi="Arial" w:cs="Arial"/>
                <w:sz w:val="20"/>
                <w:szCs w:val="20"/>
                <w:lang w:eastAsia="en-GB"/>
              </w:rPr>
              <w:t>Medium</w:t>
            </w:r>
          </w:p>
        </w:tc>
        <w:tc>
          <w:tcPr>
            <w:tcW w:w="1144"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100</w:t>
            </w:r>
          </w:p>
        </w:tc>
        <w:tc>
          <w:tcPr>
            <w:tcW w:w="1268"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90</w:t>
            </w:r>
          </w:p>
        </w:tc>
        <w:tc>
          <w:tcPr>
            <w:tcW w:w="1552"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200</w:t>
            </w:r>
          </w:p>
        </w:tc>
        <w:tc>
          <w:tcPr>
            <w:tcW w:w="6710"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 xml:space="preserve">Employer contributions for firefighter pensions total around £3.7m per year in Dorset and Wiltshire.  The Government is yet to publish the results of the latest valuation of the Firefighters Pension Schemes or full details of the proposed 2015 Firefighters Pension Scheme.  There is a risk that employer contribution rates could be increased.  This sum would cover the first year costs of a 1% increase. </w:t>
            </w:r>
          </w:p>
        </w:tc>
      </w:tr>
      <w:tr w:rsidR="008E5065" w:rsidRPr="008E5065" w:rsidTr="00D06A76">
        <w:trPr>
          <w:trHeight w:val="1500"/>
        </w:trPr>
        <w:tc>
          <w:tcPr>
            <w:tcW w:w="2850" w:type="dxa"/>
            <w:tcBorders>
              <w:top w:val="nil"/>
              <w:left w:val="single" w:sz="4" w:space="0" w:color="auto"/>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Increased take up of pension entitlement by Retained Duty System personnel</w:t>
            </w:r>
          </w:p>
        </w:tc>
        <w:tc>
          <w:tcPr>
            <w:tcW w:w="1135" w:type="dxa"/>
            <w:tcBorders>
              <w:top w:val="nil"/>
              <w:left w:val="nil"/>
              <w:bottom w:val="single" w:sz="4" w:space="0" w:color="auto"/>
              <w:right w:val="single" w:sz="4" w:space="0" w:color="auto"/>
            </w:tcBorders>
            <w:shd w:val="clear" w:color="000000" w:fill="FFC000"/>
            <w:hideMark/>
          </w:tcPr>
          <w:p w:rsidR="008E5065" w:rsidRPr="008E5065" w:rsidRDefault="008E5065" w:rsidP="008E5065">
            <w:pPr>
              <w:spacing w:after="0" w:line="240" w:lineRule="auto"/>
              <w:jc w:val="center"/>
              <w:rPr>
                <w:rFonts w:ascii="Arial" w:eastAsia="Times New Roman" w:hAnsi="Arial" w:cs="Arial"/>
                <w:sz w:val="20"/>
                <w:szCs w:val="20"/>
                <w:lang w:eastAsia="en-GB"/>
              </w:rPr>
            </w:pPr>
            <w:r w:rsidRPr="008E5065">
              <w:rPr>
                <w:rFonts w:ascii="Arial" w:eastAsia="Times New Roman" w:hAnsi="Arial" w:cs="Arial"/>
                <w:sz w:val="20"/>
                <w:szCs w:val="20"/>
                <w:lang w:eastAsia="en-GB"/>
              </w:rPr>
              <w:t>Medium</w:t>
            </w:r>
          </w:p>
        </w:tc>
        <w:tc>
          <w:tcPr>
            <w:tcW w:w="1144"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30</w:t>
            </w:r>
          </w:p>
        </w:tc>
        <w:tc>
          <w:tcPr>
            <w:tcW w:w="1268"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50</w:t>
            </w:r>
          </w:p>
        </w:tc>
        <w:tc>
          <w:tcPr>
            <w:tcW w:w="1552"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100</w:t>
            </w:r>
          </w:p>
        </w:tc>
        <w:tc>
          <w:tcPr>
            <w:tcW w:w="6710"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 xml:space="preserve">Our revenue budgets do not allow for an increase in pension uptake, but this risk is more </w:t>
            </w:r>
            <w:r w:rsidRPr="008E5065">
              <w:rPr>
                <w:rFonts w:ascii="Arial" w:eastAsia="Times New Roman" w:hAnsi="Arial" w:cs="Arial"/>
                <w:b/>
                <w:i/>
                <w:smallCaps/>
                <w:sz w:val="24"/>
                <w:szCs w:val="20"/>
                <w:lang w:eastAsia="en-GB"/>
              </w:rPr>
              <w:t>Likely</w:t>
            </w:r>
            <w:r w:rsidRPr="008E5065">
              <w:rPr>
                <w:rFonts w:ascii="Arial" w:eastAsia="Times New Roman" w:hAnsi="Arial" w:cs="Arial"/>
                <w:sz w:val="20"/>
                <w:szCs w:val="20"/>
                <w:lang w:eastAsia="en-GB"/>
              </w:rPr>
              <w:t xml:space="preserve"> to materialise now, as a result of “automatic enrolment”.</w:t>
            </w:r>
          </w:p>
        </w:tc>
      </w:tr>
      <w:tr w:rsidR="008E5065" w:rsidRPr="008E5065" w:rsidTr="00D06A76">
        <w:trPr>
          <w:trHeight w:val="988"/>
        </w:trPr>
        <w:tc>
          <w:tcPr>
            <w:tcW w:w="2850" w:type="dxa"/>
            <w:tcBorders>
              <w:top w:val="nil"/>
              <w:left w:val="single" w:sz="4" w:space="0" w:color="auto"/>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 xml:space="preserve">Uninsured risks and / or unfavourable outcome to any legal action taken against the Authority - including health and safety risks, procurement challenges, employment issues, </w:t>
            </w:r>
            <w:proofErr w:type="spellStart"/>
            <w:r w:rsidRPr="008E5065">
              <w:rPr>
                <w:rFonts w:ascii="Arial" w:eastAsia="Times New Roman" w:hAnsi="Arial" w:cs="Arial"/>
                <w:sz w:val="20"/>
                <w:szCs w:val="20"/>
                <w:lang w:eastAsia="en-GB"/>
              </w:rPr>
              <w:t>etc</w:t>
            </w:r>
            <w:proofErr w:type="spellEnd"/>
          </w:p>
        </w:tc>
        <w:tc>
          <w:tcPr>
            <w:tcW w:w="1135" w:type="dxa"/>
            <w:tcBorders>
              <w:top w:val="nil"/>
              <w:left w:val="nil"/>
              <w:bottom w:val="single" w:sz="4" w:space="0" w:color="auto"/>
              <w:right w:val="single" w:sz="4" w:space="0" w:color="auto"/>
            </w:tcBorders>
            <w:shd w:val="clear" w:color="auto" w:fill="00B050"/>
            <w:hideMark/>
          </w:tcPr>
          <w:p w:rsidR="008E5065" w:rsidRPr="008E5065" w:rsidRDefault="008E5065" w:rsidP="008E5065">
            <w:pPr>
              <w:spacing w:after="0" w:line="240" w:lineRule="auto"/>
              <w:jc w:val="center"/>
              <w:rPr>
                <w:rFonts w:ascii="Arial" w:eastAsia="Times New Roman" w:hAnsi="Arial" w:cs="Arial"/>
                <w:sz w:val="20"/>
                <w:szCs w:val="20"/>
                <w:lang w:eastAsia="en-GB"/>
              </w:rPr>
            </w:pPr>
            <w:r w:rsidRPr="008E5065">
              <w:rPr>
                <w:rFonts w:ascii="Arial" w:eastAsia="Times New Roman" w:hAnsi="Arial" w:cs="Arial"/>
                <w:sz w:val="20"/>
                <w:szCs w:val="20"/>
                <w:lang w:eastAsia="en-GB"/>
              </w:rPr>
              <w:t>Low</w:t>
            </w:r>
          </w:p>
        </w:tc>
        <w:tc>
          <w:tcPr>
            <w:tcW w:w="1144"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50</w:t>
            </w:r>
          </w:p>
        </w:tc>
        <w:tc>
          <w:tcPr>
            <w:tcW w:w="1268"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50</w:t>
            </w:r>
          </w:p>
        </w:tc>
        <w:tc>
          <w:tcPr>
            <w:tcW w:w="1552"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100</w:t>
            </w:r>
          </w:p>
        </w:tc>
        <w:tc>
          <w:tcPr>
            <w:tcW w:w="6710"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The new Authority will maintain comprehensive insurance arrangements but these cannot cover all possible risks or potential legal claims.  For instance, there are some uninsured risks not covered, such as equal pay, negligence or discrimination claims.</w:t>
            </w:r>
          </w:p>
        </w:tc>
      </w:tr>
      <w:tr w:rsidR="008E5065" w:rsidRPr="008E5065" w:rsidTr="00D06A76">
        <w:trPr>
          <w:trHeight w:val="987"/>
        </w:trPr>
        <w:tc>
          <w:tcPr>
            <w:tcW w:w="2850" w:type="dxa"/>
            <w:tcBorders>
              <w:top w:val="nil"/>
              <w:left w:val="single" w:sz="4" w:space="0" w:color="auto"/>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 xml:space="preserve">Contribution to major incident not covered by </w:t>
            </w:r>
            <w:proofErr w:type="spellStart"/>
            <w:r w:rsidRPr="008E5065">
              <w:rPr>
                <w:rFonts w:ascii="Arial" w:eastAsia="Times New Roman" w:hAnsi="Arial" w:cs="Arial"/>
                <w:sz w:val="20"/>
                <w:szCs w:val="20"/>
                <w:lang w:eastAsia="en-GB"/>
              </w:rPr>
              <w:t>Bellwin</w:t>
            </w:r>
            <w:proofErr w:type="spellEnd"/>
          </w:p>
        </w:tc>
        <w:tc>
          <w:tcPr>
            <w:tcW w:w="1135" w:type="dxa"/>
            <w:tcBorders>
              <w:top w:val="nil"/>
              <w:left w:val="nil"/>
              <w:bottom w:val="single" w:sz="4" w:space="0" w:color="auto"/>
              <w:right w:val="single" w:sz="4" w:space="0" w:color="auto"/>
            </w:tcBorders>
            <w:shd w:val="clear" w:color="auto" w:fill="00B050"/>
            <w:hideMark/>
          </w:tcPr>
          <w:p w:rsidR="008E5065" w:rsidRPr="008E5065" w:rsidRDefault="008E5065" w:rsidP="008E5065">
            <w:pPr>
              <w:spacing w:after="0" w:line="240" w:lineRule="auto"/>
              <w:jc w:val="center"/>
              <w:rPr>
                <w:rFonts w:ascii="Arial" w:eastAsia="Times New Roman" w:hAnsi="Arial" w:cs="Arial"/>
                <w:sz w:val="20"/>
                <w:szCs w:val="20"/>
                <w:lang w:eastAsia="en-GB"/>
              </w:rPr>
            </w:pPr>
            <w:r w:rsidRPr="008E5065">
              <w:rPr>
                <w:rFonts w:ascii="Arial" w:eastAsia="Times New Roman" w:hAnsi="Arial" w:cs="Arial"/>
                <w:sz w:val="20"/>
                <w:szCs w:val="20"/>
                <w:lang w:eastAsia="en-GB"/>
              </w:rPr>
              <w:t>Low</w:t>
            </w:r>
          </w:p>
        </w:tc>
        <w:tc>
          <w:tcPr>
            <w:tcW w:w="1144"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60</w:t>
            </w:r>
          </w:p>
        </w:tc>
        <w:tc>
          <w:tcPr>
            <w:tcW w:w="1268"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50</w:t>
            </w:r>
          </w:p>
        </w:tc>
        <w:tc>
          <w:tcPr>
            <w:tcW w:w="1552"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110</w:t>
            </w:r>
          </w:p>
        </w:tc>
        <w:tc>
          <w:tcPr>
            <w:tcW w:w="6710"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 xml:space="preserve">In the event of an incident occurring in Dorset or </w:t>
            </w:r>
            <w:proofErr w:type="gramStart"/>
            <w:r w:rsidRPr="008E5065">
              <w:rPr>
                <w:rFonts w:ascii="Arial" w:eastAsia="Times New Roman" w:hAnsi="Arial" w:cs="Arial"/>
                <w:sz w:val="20"/>
                <w:szCs w:val="20"/>
                <w:lang w:eastAsia="en-GB"/>
              </w:rPr>
              <w:t>Wiltshire  that</w:t>
            </w:r>
            <w:proofErr w:type="gramEnd"/>
            <w:r w:rsidRPr="008E5065">
              <w:rPr>
                <w:rFonts w:ascii="Arial" w:eastAsia="Times New Roman" w:hAnsi="Arial" w:cs="Arial"/>
                <w:sz w:val="20"/>
                <w:szCs w:val="20"/>
                <w:lang w:eastAsia="en-GB"/>
              </w:rPr>
              <w:t xml:space="preserve"> would be covered by the </w:t>
            </w:r>
            <w:proofErr w:type="spellStart"/>
            <w:r w:rsidRPr="008E5065">
              <w:rPr>
                <w:rFonts w:ascii="Arial" w:eastAsia="Times New Roman" w:hAnsi="Arial" w:cs="Arial"/>
                <w:sz w:val="20"/>
                <w:szCs w:val="20"/>
                <w:lang w:eastAsia="en-GB"/>
              </w:rPr>
              <w:t>Bellwin</w:t>
            </w:r>
            <w:proofErr w:type="spellEnd"/>
            <w:r w:rsidRPr="008E5065">
              <w:rPr>
                <w:rFonts w:ascii="Arial" w:eastAsia="Times New Roman" w:hAnsi="Arial" w:cs="Arial"/>
                <w:sz w:val="20"/>
                <w:szCs w:val="20"/>
                <w:lang w:eastAsia="en-GB"/>
              </w:rPr>
              <w:t xml:space="preserve"> Scheme the Authority would be required to make a contribution equivalent to 0.2% of its revenue budget, plus 15% of the amount spent over the threshold of £50k. </w:t>
            </w:r>
          </w:p>
        </w:tc>
      </w:tr>
      <w:tr w:rsidR="008E5065" w:rsidRPr="008E5065" w:rsidTr="00D06A76">
        <w:trPr>
          <w:trHeight w:val="2400"/>
        </w:trPr>
        <w:tc>
          <w:tcPr>
            <w:tcW w:w="2850" w:type="dxa"/>
            <w:tcBorders>
              <w:top w:val="nil"/>
              <w:left w:val="single" w:sz="4" w:space="0" w:color="auto"/>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lastRenderedPageBreak/>
              <w:t xml:space="preserve">Collection rates for council tax and business rates, collection fund surpluses/deficits, </w:t>
            </w:r>
            <w:proofErr w:type="spellStart"/>
            <w:r w:rsidRPr="008E5065">
              <w:rPr>
                <w:rFonts w:ascii="Arial" w:eastAsia="Times New Roman" w:hAnsi="Arial" w:cs="Arial"/>
                <w:sz w:val="20"/>
                <w:szCs w:val="20"/>
                <w:lang w:eastAsia="en-GB"/>
              </w:rPr>
              <w:t>taxbase</w:t>
            </w:r>
            <w:proofErr w:type="spellEnd"/>
            <w:r w:rsidRPr="008E5065">
              <w:rPr>
                <w:rFonts w:ascii="Arial" w:eastAsia="Times New Roman" w:hAnsi="Arial" w:cs="Arial"/>
                <w:sz w:val="20"/>
                <w:szCs w:val="20"/>
                <w:lang w:eastAsia="en-GB"/>
              </w:rPr>
              <w:t xml:space="preserve"> and the impact of localised support for council tax are worse than forecast </w:t>
            </w:r>
          </w:p>
        </w:tc>
        <w:tc>
          <w:tcPr>
            <w:tcW w:w="1135" w:type="dxa"/>
            <w:tcBorders>
              <w:top w:val="nil"/>
              <w:left w:val="nil"/>
              <w:bottom w:val="single" w:sz="4" w:space="0" w:color="auto"/>
              <w:right w:val="single" w:sz="4" w:space="0" w:color="auto"/>
            </w:tcBorders>
            <w:shd w:val="clear" w:color="000000" w:fill="FF0000"/>
            <w:hideMark/>
          </w:tcPr>
          <w:p w:rsidR="008E5065" w:rsidRPr="008E5065" w:rsidRDefault="008E5065" w:rsidP="008E5065">
            <w:pPr>
              <w:spacing w:after="0" w:line="240" w:lineRule="auto"/>
              <w:jc w:val="center"/>
              <w:rPr>
                <w:rFonts w:ascii="Arial" w:eastAsia="Times New Roman" w:hAnsi="Arial" w:cs="Arial"/>
                <w:sz w:val="20"/>
                <w:szCs w:val="20"/>
                <w:lang w:eastAsia="en-GB"/>
              </w:rPr>
            </w:pPr>
            <w:r w:rsidRPr="008E5065">
              <w:rPr>
                <w:rFonts w:ascii="Arial" w:eastAsia="Times New Roman" w:hAnsi="Arial" w:cs="Arial"/>
                <w:sz w:val="20"/>
                <w:szCs w:val="20"/>
                <w:lang w:eastAsia="en-GB"/>
              </w:rPr>
              <w:t>High</w:t>
            </w:r>
          </w:p>
        </w:tc>
        <w:tc>
          <w:tcPr>
            <w:tcW w:w="1144"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100</w:t>
            </w:r>
          </w:p>
        </w:tc>
        <w:tc>
          <w:tcPr>
            <w:tcW w:w="1268"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200</w:t>
            </w:r>
          </w:p>
        </w:tc>
        <w:tc>
          <w:tcPr>
            <w:tcW w:w="1552"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300</w:t>
            </w:r>
          </w:p>
        </w:tc>
        <w:tc>
          <w:tcPr>
            <w:tcW w:w="6710"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 xml:space="preserve">Following the introduction of the new business rates retention funding system and other new initiatives such as localised support for council tax, collection rates and assumptions made by billing authorities are more volatile and this presents new funding risks for the major </w:t>
            </w:r>
            <w:proofErr w:type="spellStart"/>
            <w:r w:rsidRPr="008E5065">
              <w:rPr>
                <w:rFonts w:ascii="Arial" w:eastAsia="Times New Roman" w:hAnsi="Arial" w:cs="Arial"/>
                <w:sz w:val="20"/>
                <w:szCs w:val="20"/>
                <w:lang w:eastAsia="en-GB"/>
              </w:rPr>
              <w:t>precepting</w:t>
            </w:r>
            <w:proofErr w:type="spellEnd"/>
            <w:r w:rsidRPr="008E5065">
              <w:rPr>
                <w:rFonts w:ascii="Arial" w:eastAsia="Times New Roman" w:hAnsi="Arial" w:cs="Arial"/>
                <w:sz w:val="20"/>
                <w:szCs w:val="20"/>
                <w:lang w:eastAsia="en-GB"/>
              </w:rPr>
              <w:t xml:space="preserve"> authorities.  Our combined </w:t>
            </w:r>
            <w:proofErr w:type="spellStart"/>
            <w:r w:rsidRPr="008E5065">
              <w:rPr>
                <w:rFonts w:ascii="Arial" w:eastAsia="Times New Roman" w:hAnsi="Arial" w:cs="Arial"/>
                <w:sz w:val="20"/>
                <w:szCs w:val="20"/>
                <w:lang w:eastAsia="en-GB"/>
              </w:rPr>
              <w:t>taxbase</w:t>
            </w:r>
            <w:proofErr w:type="spellEnd"/>
            <w:r w:rsidRPr="008E5065">
              <w:rPr>
                <w:rFonts w:ascii="Arial" w:eastAsia="Times New Roman" w:hAnsi="Arial" w:cs="Arial"/>
                <w:sz w:val="20"/>
                <w:szCs w:val="20"/>
                <w:lang w:eastAsia="en-GB"/>
              </w:rPr>
              <w:t xml:space="preserve"> under the new system is currently just over 500,000 and a variation of less than 1% would result on the loss of more than £300k in income, plus the likelihood of Collection Fund Deficits.</w:t>
            </w:r>
          </w:p>
        </w:tc>
      </w:tr>
      <w:tr w:rsidR="008E5065" w:rsidRPr="008E5065" w:rsidTr="00D06A76">
        <w:trPr>
          <w:trHeight w:val="1777"/>
        </w:trPr>
        <w:tc>
          <w:tcPr>
            <w:tcW w:w="2850" w:type="dxa"/>
            <w:tcBorders>
              <w:top w:val="nil"/>
              <w:left w:val="single" w:sz="4" w:space="0" w:color="auto"/>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Future reductions in Government funding are worse than forecast</w:t>
            </w:r>
          </w:p>
        </w:tc>
        <w:tc>
          <w:tcPr>
            <w:tcW w:w="1135" w:type="dxa"/>
            <w:tcBorders>
              <w:top w:val="nil"/>
              <w:left w:val="nil"/>
              <w:bottom w:val="single" w:sz="4" w:space="0" w:color="auto"/>
              <w:right w:val="single" w:sz="4" w:space="0" w:color="auto"/>
            </w:tcBorders>
            <w:shd w:val="clear" w:color="000000" w:fill="FF0000"/>
            <w:hideMark/>
          </w:tcPr>
          <w:p w:rsidR="008E5065" w:rsidRPr="008E5065" w:rsidRDefault="008E5065" w:rsidP="008E5065">
            <w:pPr>
              <w:spacing w:after="0" w:line="240" w:lineRule="auto"/>
              <w:jc w:val="center"/>
              <w:rPr>
                <w:rFonts w:ascii="Arial" w:eastAsia="Times New Roman" w:hAnsi="Arial" w:cs="Arial"/>
                <w:sz w:val="20"/>
                <w:szCs w:val="20"/>
                <w:lang w:eastAsia="en-GB"/>
              </w:rPr>
            </w:pPr>
            <w:r w:rsidRPr="008E5065">
              <w:rPr>
                <w:rFonts w:ascii="Arial" w:eastAsia="Times New Roman" w:hAnsi="Arial" w:cs="Arial"/>
                <w:sz w:val="20"/>
                <w:szCs w:val="20"/>
                <w:lang w:eastAsia="en-GB"/>
              </w:rPr>
              <w:t>High</w:t>
            </w:r>
          </w:p>
        </w:tc>
        <w:tc>
          <w:tcPr>
            <w:tcW w:w="1144"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200</w:t>
            </w:r>
          </w:p>
        </w:tc>
        <w:tc>
          <w:tcPr>
            <w:tcW w:w="1268"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200</w:t>
            </w:r>
          </w:p>
        </w:tc>
        <w:tc>
          <w:tcPr>
            <w:tcW w:w="1552"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400</w:t>
            </w:r>
          </w:p>
        </w:tc>
        <w:tc>
          <w:tcPr>
            <w:tcW w:w="6710" w:type="dxa"/>
            <w:tcBorders>
              <w:top w:val="nil"/>
              <w:left w:val="nil"/>
              <w:bottom w:val="single" w:sz="4" w:space="0" w:color="auto"/>
              <w:right w:val="single" w:sz="4" w:space="0" w:color="auto"/>
            </w:tcBorders>
            <w:shd w:val="clear" w:color="auto" w:fill="FFFFFF"/>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The Government announced in its Spending Round 2013 expected levels of funding reductions for local authorities, in addition to those of CSR2010.  The Medium Term Financial Strategy assumes reductions in government funding of 8% in 2015/16 and further cuts of 5.5% each year from 2016/17 to 2019/20 but this may prove to be inadequate.  The LGA's latest predictions suggest funding cuts of 8% in 2016/17 and 7.5 % thereafter.  Joint funding for 2015/16 is estimated at £19.6m so a 2% variation would equate to roughly £400k.</w:t>
            </w:r>
          </w:p>
        </w:tc>
      </w:tr>
      <w:tr w:rsidR="008E5065" w:rsidRPr="008E5065" w:rsidTr="00D06A76">
        <w:trPr>
          <w:trHeight w:val="1980"/>
        </w:trPr>
        <w:tc>
          <w:tcPr>
            <w:tcW w:w="2850" w:type="dxa"/>
            <w:tcBorders>
              <w:top w:val="nil"/>
              <w:left w:val="single" w:sz="4" w:space="0" w:color="auto"/>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 xml:space="preserve">General contingency for unidentified items </w:t>
            </w:r>
          </w:p>
        </w:tc>
        <w:tc>
          <w:tcPr>
            <w:tcW w:w="1135" w:type="dxa"/>
            <w:tcBorders>
              <w:top w:val="nil"/>
              <w:left w:val="nil"/>
              <w:bottom w:val="single" w:sz="4" w:space="0" w:color="auto"/>
              <w:right w:val="single" w:sz="4" w:space="0" w:color="auto"/>
            </w:tcBorders>
            <w:shd w:val="clear" w:color="000000" w:fill="FF0000"/>
            <w:hideMark/>
          </w:tcPr>
          <w:p w:rsidR="008E5065" w:rsidRPr="008E5065" w:rsidRDefault="008E5065" w:rsidP="008E5065">
            <w:pPr>
              <w:spacing w:after="0" w:line="240" w:lineRule="auto"/>
              <w:jc w:val="center"/>
              <w:rPr>
                <w:rFonts w:ascii="Arial" w:eastAsia="Times New Roman" w:hAnsi="Arial" w:cs="Arial"/>
                <w:sz w:val="20"/>
                <w:szCs w:val="20"/>
                <w:lang w:eastAsia="en-GB"/>
              </w:rPr>
            </w:pPr>
            <w:r w:rsidRPr="008E5065">
              <w:rPr>
                <w:rFonts w:ascii="Arial" w:eastAsia="Times New Roman" w:hAnsi="Arial" w:cs="Arial"/>
                <w:sz w:val="20"/>
                <w:szCs w:val="20"/>
                <w:lang w:eastAsia="en-GB"/>
              </w:rPr>
              <w:t>High</w:t>
            </w:r>
          </w:p>
        </w:tc>
        <w:tc>
          <w:tcPr>
            <w:tcW w:w="1144"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150</w:t>
            </w:r>
          </w:p>
        </w:tc>
        <w:tc>
          <w:tcPr>
            <w:tcW w:w="1268"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250</w:t>
            </w:r>
          </w:p>
        </w:tc>
        <w:tc>
          <w:tcPr>
            <w:tcW w:w="1552"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jc w:val="right"/>
              <w:rPr>
                <w:rFonts w:ascii="Arial" w:eastAsia="Times New Roman" w:hAnsi="Arial" w:cs="Arial"/>
                <w:sz w:val="20"/>
                <w:szCs w:val="20"/>
                <w:lang w:eastAsia="en-GB"/>
              </w:rPr>
            </w:pPr>
            <w:r w:rsidRPr="008E5065">
              <w:rPr>
                <w:rFonts w:ascii="Arial" w:eastAsia="Times New Roman" w:hAnsi="Arial" w:cs="Arial"/>
                <w:sz w:val="20"/>
                <w:szCs w:val="20"/>
                <w:lang w:eastAsia="en-GB"/>
              </w:rPr>
              <w:t>300</w:t>
            </w:r>
          </w:p>
        </w:tc>
        <w:tc>
          <w:tcPr>
            <w:tcW w:w="6710" w:type="dxa"/>
            <w:tcBorders>
              <w:top w:val="nil"/>
              <w:left w:val="nil"/>
              <w:bottom w:val="single" w:sz="4" w:space="0" w:color="auto"/>
              <w:right w:val="single" w:sz="4" w:space="0" w:color="auto"/>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r w:rsidRPr="008E5065">
              <w:rPr>
                <w:rFonts w:ascii="Arial" w:eastAsia="Times New Roman" w:hAnsi="Arial" w:cs="Arial"/>
                <w:sz w:val="20"/>
                <w:szCs w:val="20"/>
                <w:lang w:eastAsia="en-GB"/>
              </w:rPr>
              <w:t>Neither revenue budget makes any provision for in-year financial contingency.  Given the current level of budget cuts and forecast future reductions there is a risk that the Service would be unable to manage a significant one off cost not covered specifically above.  This could, for example, be a requirement to undertake some major unplanned property works.    The combined assessment is less than the two individual assessments on the basis that the larger revenue budget provision should provide more scope to deal with significant in-year variations.</w:t>
            </w:r>
          </w:p>
        </w:tc>
      </w:tr>
      <w:tr w:rsidR="008E5065" w:rsidRPr="008E5065" w:rsidTr="00D06A76">
        <w:trPr>
          <w:trHeight w:val="300"/>
        </w:trPr>
        <w:tc>
          <w:tcPr>
            <w:tcW w:w="2850" w:type="dxa"/>
            <w:tcBorders>
              <w:top w:val="nil"/>
              <w:left w:val="nil"/>
              <w:bottom w:val="nil"/>
              <w:right w:val="nil"/>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p>
        </w:tc>
        <w:tc>
          <w:tcPr>
            <w:tcW w:w="1135" w:type="dxa"/>
            <w:tcBorders>
              <w:top w:val="nil"/>
              <w:left w:val="nil"/>
              <w:bottom w:val="nil"/>
              <w:right w:val="nil"/>
            </w:tcBorders>
            <w:shd w:val="clear" w:color="auto" w:fill="auto"/>
            <w:hideMark/>
          </w:tcPr>
          <w:p w:rsidR="008E5065" w:rsidRPr="008E5065" w:rsidRDefault="008E5065" w:rsidP="008E5065">
            <w:pPr>
              <w:spacing w:after="0" w:line="240" w:lineRule="auto"/>
              <w:jc w:val="center"/>
              <w:rPr>
                <w:rFonts w:ascii="Arial" w:eastAsia="Times New Roman" w:hAnsi="Arial" w:cs="Arial"/>
                <w:sz w:val="20"/>
                <w:szCs w:val="20"/>
                <w:lang w:eastAsia="en-GB"/>
              </w:rPr>
            </w:pPr>
          </w:p>
        </w:tc>
        <w:tc>
          <w:tcPr>
            <w:tcW w:w="1144" w:type="dxa"/>
            <w:tcBorders>
              <w:top w:val="nil"/>
              <w:left w:val="nil"/>
              <w:bottom w:val="nil"/>
              <w:right w:val="nil"/>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p>
        </w:tc>
        <w:tc>
          <w:tcPr>
            <w:tcW w:w="1268" w:type="dxa"/>
            <w:tcBorders>
              <w:top w:val="nil"/>
              <w:left w:val="nil"/>
              <w:bottom w:val="nil"/>
              <w:right w:val="nil"/>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p>
        </w:tc>
        <w:tc>
          <w:tcPr>
            <w:tcW w:w="1552" w:type="dxa"/>
            <w:tcBorders>
              <w:top w:val="nil"/>
              <w:left w:val="nil"/>
              <w:bottom w:val="nil"/>
              <w:right w:val="nil"/>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p>
        </w:tc>
        <w:tc>
          <w:tcPr>
            <w:tcW w:w="6710" w:type="dxa"/>
            <w:tcBorders>
              <w:top w:val="nil"/>
              <w:left w:val="nil"/>
              <w:bottom w:val="nil"/>
              <w:right w:val="nil"/>
            </w:tcBorders>
            <w:shd w:val="clear" w:color="auto" w:fill="auto"/>
            <w:noWrap/>
            <w:vAlign w:val="bottom"/>
            <w:hideMark/>
          </w:tcPr>
          <w:p w:rsidR="008E5065" w:rsidRPr="008E5065" w:rsidRDefault="008E5065" w:rsidP="008E5065">
            <w:pPr>
              <w:spacing w:after="0" w:line="240" w:lineRule="auto"/>
              <w:rPr>
                <w:rFonts w:ascii="Arial" w:eastAsia="Times New Roman" w:hAnsi="Arial" w:cs="Arial"/>
                <w:sz w:val="20"/>
                <w:szCs w:val="20"/>
                <w:lang w:eastAsia="en-GB"/>
              </w:rPr>
            </w:pPr>
          </w:p>
        </w:tc>
      </w:tr>
      <w:tr w:rsidR="008E5065" w:rsidRPr="008E5065" w:rsidTr="00D06A76">
        <w:trPr>
          <w:trHeight w:val="315"/>
        </w:trPr>
        <w:tc>
          <w:tcPr>
            <w:tcW w:w="2850" w:type="dxa"/>
            <w:tcBorders>
              <w:top w:val="nil"/>
              <w:left w:val="nil"/>
              <w:bottom w:val="nil"/>
              <w:right w:val="nil"/>
            </w:tcBorders>
            <w:shd w:val="clear" w:color="auto" w:fill="auto"/>
            <w:hideMark/>
          </w:tcPr>
          <w:p w:rsidR="008E5065" w:rsidRPr="008E5065" w:rsidRDefault="008E5065" w:rsidP="008E5065">
            <w:pPr>
              <w:spacing w:after="0" w:line="240" w:lineRule="auto"/>
              <w:rPr>
                <w:rFonts w:ascii="Arial" w:eastAsia="Times New Roman" w:hAnsi="Arial" w:cs="Arial"/>
                <w:sz w:val="20"/>
                <w:szCs w:val="20"/>
                <w:lang w:eastAsia="en-GB"/>
              </w:rPr>
            </w:pPr>
          </w:p>
        </w:tc>
        <w:tc>
          <w:tcPr>
            <w:tcW w:w="1135" w:type="dxa"/>
            <w:tcBorders>
              <w:top w:val="nil"/>
              <w:left w:val="nil"/>
              <w:bottom w:val="nil"/>
              <w:right w:val="nil"/>
            </w:tcBorders>
            <w:shd w:val="clear" w:color="auto" w:fill="auto"/>
            <w:hideMark/>
          </w:tcPr>
          <w:p w:rsidR="008E5065" w:rsidRPr="008E5065" w:rsidRDefault="008E5065" w:rsidP="008E5065">
            <w:pPr>
              <w:spacing w:after="0" w:line="240" w:lineRule="auto"/>
              <w:jc w:val="center"/>
              <w:rPr>
                <w:rFonts w:ascii="Arial" w:eastAsia="Times New Roman" w:hAnsi="Arial" w:cs="Arial"/>
                <w:sz w:val="20"/>
                <w:szCs w:val="20"/>
                <w:lang w:eastAsia="en-GB"/>
              </w:rPr>
            </w:pPr>
          </w:p>
        </w:tc>
        <w:tc>
          <w:tcPr>
            <w:tcW w:w="1144" w:type="dxa"/>
            <w:tcBorders>
              <w:top w:val="nil"/>
              <w:left w:val="nil"/>
              <w:bottom w:val="nil"/>
              <w:right w:val="nil"/>
            </w:tcBorders>
            <w:shd w:val="clear" w:color="auto" w:fill="auto"/>
            <w:hideMark/>
          </w:tcPr>
          <w:p w:rsidR="008E5065" w:rsidRPr="008E5065" w:rsidRDefault="008E5065" w:rsidP="008E5065">
            <w:pPr>
              <w:spacing w:after="0" w:line="240" w:lineRule="auto"/>
              <w:jc w:val="right"/>
              <w:rPr>
                <w:rFonts w:ascii="Arial" w:eastAsia="Times New Roman" w:hAnsi="Arial" w:cs="Arial"/>
                <w:b/>
                <w:bCs/>
                <w:sz w:val="28"/>
                <w:szCs w:val="28"/>
                <w:lang w:eastAsia="en-GB"/>
              </w:rPr>
            </w:pPr>
            <w:r w:rsidRPr="008E5065">
              <w:rPr>
                <w:rFonts w:ascii="Arial" w:eastAsia="Times New Roman" w:hAnsi="Arial" w:cs="Arial"/>
                <w:b/>
                <w:bCs/>
                <w:sz w:val="28"/>
                <w:szCs w:val="28"/>
                <w:lang w:eastAsia="en-GB"/>
              </w:rPr>
              <w:t>1,500</w:t>
            </w:r>
          </w:p>
        </w:tc>
        <w:tc>
          <w:tcPr>
            <w:tcW w:w="1268" w:type="dxa"/>
            <w:tcBorders>
              <w:top w:val="nil"/>
              <w:left w:val="nil"/>
              <w:bottom w:val="nil"/>
              <w:right w:val="nil"/>
            </w:tcBorders>
            <w:shd w:val="clear" w:color="auto" w:fill="auto"/>
            <w:hideMark/>
          </w:tcPr>
          <w:p w:rsidR="008E5065" w:rsidRPr="008E5065" w:rsidRDefault="008E5065" w:rsidP="008E5065">
            <w:pPr>
              <w:spacing w:after="0" w:line="240" w:lineRule="auto"/>
              <w:jc w:val="right"/>
              <w:rPr>
                <w:rFonts w:ascii="Arial" w:eastAsia="Times New Roman" w:hAnsi="Arial" w:cs="Arial"/>
                <w:b/>
                <w:bCs/>
                <w:sz w:val="28"/>
                <w:szCs w:val="28"/>
                <w:lang w:eastAsia="en-GB"/>
              </w:rPr>
            </w:pPr>
            <w:r w:rsidRPr="008E5065">
              <w:rPr>
                <w:rFonts w:ascii="Arial" w:eastAsia="Times New Roman" w:hAnsi="Arial" w:cs="Arial"/>
                <w:b/>
                <w:bCs/>
                <w:sz w:val="28"/>
                <w:szCs w:val="28"/>
                <w:lang w:eastAsia="en-GB"/>
              </w:rPr>
              <w:t>1,450</w:t>
            </w:r>
          </w:p>
        </w:tc>
        <w:tc>
          <w:tcPr>
            <w:tcW w:w="1552" w:type="dxa"/>
            <w:tcBorders>
              <w:top w:val="nil"/>
              <w:left w:val="nil"/>
              <w:bottom w:val="nil"/>
              <w:right w:val="nil"/>
            </w:tcBorders>
            <w:shd w:val="clear" w:color="auto" w:fill="auto"/>
            <w:hideMark/>
          </w:tcPr>
          <w:p w:rsidR="008E5065" w:rsidRPr="008E5065" w:rsidRDefault="008E5065" w:rsidP="008E5065">
            <w:pPr>
              <w:spacing w:after="0" w:line="240" w:lineRule="auto"/>
              <w:jc w:val="right"/>
              <w:rPr>
                <w:rFonts w:ascii="Arial" w:eastAsia="Times New Roman" w:hAnsi="Arial" w:cs="Arial"/>
                <w:b/>
                <w:bCs/>
                <w:sz w:val="28"/>
                <w:szCs w:val="28"/>
                <w:lang w:eastAsia="en-GB"/>
              </w:rPr>
            </w:pPr>
            <w:r w:rsidRPr="008E5065">
              <w:rPr>
                <w:rFonts w:ascii="Arial" w:eastAsia="Times New Roman" w:hAnsi="Arial" w:cs="Arial"/>
                <w:b/>
                <w:bCs/>
                <w:sz w:val="28"/>
                <w:szCs w:val="28"/>
                <w:lang w:eastAsia="en-GB"/>
              </w:rPr>
              <w:t>2,660</w:t>
            </w:r>
          </w:p>
        </w:tc>
        <w:tc>
          <w:tcPr>
            <w:tcW w:w="6710" w:type="dxa"/>
            <w:tcBorders>
              <w:top w:val="nil"/>
              <w:left w:val="nil"/>
              <w:bottom w:val="nil"/>
              <w:right w:val="nil"/>
            </w:tcBorders>
            <w:shd w:val="clear" w:color="auto" w:fill="auto"/>
            <w:hideMark/>
          </w:tcPr>
          <w:p w:rsidR="008E5065" w:rsidRPr="008E5065" w:rsidRDefault="008E5065" w:rsidP="008E5065">
            <w:pPr>
              <w:spacing w:after="0" w:line="240" w:lineRule="auto"/>
              <w:rPr>
                <w:rFonts w:ascii="Arial" w:eastAsia="Times New Roman" w:hAnsi="Arial" w:cs="Arial"/>
                <w:b/>
                <w:bCs/>
                <w:sz w:val="28"/>
                <w:szCs w:val="28"/>
                <w:lang w:eastAsia="en-GB"/>
              </w:rPr>
            </w:pPr>
            <w:r w:rsidRPr="008E5065">
              <w:rPr>
                <w:rFonts w:ascii="Arial" w:eastAsia="Times New Roman" w:hAnsi="Arial" w:cs="Arial"/>
                <w:b/>
                <w:bCs/>
                <w:sz w:val="28"/>
                <w:szCs w:val="28"/>
                <w:lang w:eastAsia="en-GB"/>
              </w:rPr>
              <w:t>General Balances Risk Assessment</w:t>
            </w:r>
          </w:p>
        </w:tc>
      </w:tr>
    </w:tbl>
    <w:p w:rsidR="0020281C" w:rsidRDefault="0020281C">
      <w:bookmarkStart w:id="0" w:name="_GoBack"/>
      <w:bookmarkEnd w:id="0"/>
    </w:p>
    <w:sectPr w:rsidR="0020281C" w:rsidSect="008E5065">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65"/>
    <w:rsid w:val="0020281C"/>
    <w:rsid w:val="008E5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mstead</dc:creator>
  <cp:lastModifiedBy>mstead</cp:lastModifiedBy>
  <cp:revision>1</cp:revision>
  <dcterms:created xsi:type="dcterms:W3CDTF">2014-10-13T13:30:00Z</dcterms:created>
  <dcterms:modified xsi:type="dcterms:W3CDTF">2014-10-13T13:31:00Z</dcterms:modified>
</cp:coreProperties>
</file>