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0" w:rsidRDefault="00364900"/>
    <w:p w:rsidR="00BE2B86" w:rsidRDefault="00E667BC" w:rsidP="00E667BC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Transitional Risks</w:t>
      </w:r>
    </w:p>
    <w:p w:rsidR="00E667BC" w:rsidRPr="00E667BC" w:rsidRDefault="00E667BC" w:rsidP="00E667BC">
      <w:pPr>
        <w:pStyle w:val="NoSpacing"/>
        <w:jc w:val="center"/>
        <w:rPr>
          <w:b/>
          <w:sz w:val="32"/>
          <w:u w:val="single"/>
        </w:rPr>
      </w:pPr>
    </w:p>
    <w:tbl>
      <w:tblPr>
        <w:tblStyle w:val="LightGrid-Accent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4111"/>
        <w:gridCol w:w="3119"/>
        <w:gridCol w:w="1134"/>
        <w:gridCol w:w="1134"/>
        <w:gridCol w:w="1134"/>
      </w:tblGrid>
      <w:tr w:rsidR="002F2C7A" w:rsidRPr="00D8782C" w:rsidTr="008B7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548DD4" w:themeFill="text2" w:themeFillTint="99"/>
          </w:tcPr>
          <w:p w:rsidR="002F2C7A" w:rsidRPr="00D8782C" w:rsidRDefault="002F2C7A" w:rsidP="001044BA">
            <w:pPr>
              <w:jc w:val="center"/>
              <w:rPr>
                <w:color w:val="FFFFFF" w:themeColor="background1"/>
                <w:sz w:val="28"/>
              </w:rPr>
            </w:pPr>
            <w:r w:rsidRPr="007D288F">
              <w:rPr>
                <w:color w:val="000000" w:themeColor="text1"/>
              </w:rPr>
              <w:t>Option 3</w:t>
            </w:r>
          </w:p>
        </w:tc>
        <w:tc>
          <w:tcPr>
            <w:tcW w:w="14742" w:type="dxa"/>
            <w:gridSpan w:val="6"/>
            <w:shd w:val="clear" w:color="auto" w:fill="548DD4" w:themeFill="text2" w:themeFillTint="99"/>
          </w:tcPr>
          <w:p w:rsidR="002F2C7A" w:rsidRPr="00D8782C" w:rsidRDefault="002F2C7A" w:rsidP="00104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Merge with Dorset Fire Authority to create a single combined Fire Authority while also collaborating with Wiltshire Council and Swindon Borough Council</w:t>
            </w:r>
          </w:p>
        </w:tc>
      </w:tr>
      <w:tr w:rsidR="002F2C7A" w:rsidRPr="00D8782C" w:rsidTr="0068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2F2C7A" w:rsidRPr="00D8782C" w:rsidRDefault="002F2C7A" w:rsidP="001044BA">
            <w:r w:rsidRPr="003C1C6B">
              <w:rPr>
                <w:color w:val="1F497D" w:themeColor="text2"/>
                <w:sz w:val="20"/>
              </w:rPr>
              <w:t>Risk Category</w:t>
            </w:r>
          </w:p>
        </w:tc>
        <w:tc>
          <w:tcPr>
            <w:tcW w:w="4110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>Risk</w:t>
            </w:r>
          </w:p>
        </w:tc>
        <w:tc>
          <w:tcPr>
            <w:tcW w:w="4111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>Effect</w:t>
            </w:r>
          </w:p>
        </w:tc>
        <w:tc>
          <w:tcPr>
            <w:tcW w:w="3119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>Mitigation</w:t>
            </w:r>
          </w:p>
        </w:tc>
        <w:tc>
          <w:tcPr>
            <w:tcW w:w="1134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>Likeli</w:t>
            </w:r>
            <w:r>
              <w:rPr>
                <w:b/>
                <w:color w:val="1F497D" w:themeColor="text2"/>
              </w:rPr>
              <w:t>-</w:t>
            </w:r>
            <w:r w:rsidRPr="00D8782C">
              <w:rPr>
                <w:b/>
                <w:color w:val="1F497D" w:themeColor="text2"/>
              </w:rPr>
              <w:t>hood</w:t>
            </w:r>
          </w:p>
        </w:tc>
        <w:tc>
          <w:tcPr>
            <w:tcW w:w="1134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 xml:space="preserve">Impact </w:t>
            </w:r>
          </w:p>
        </w:tc>
        <w:tc>
          <w:tcPr>
            <w:tcW w:w="1134" w:type="dxa"/>
          </w:tcPr>
          <w:p w:rsidR="002F2C7A" w:rsidRPr="00D8782C" w:rsidRDefault="002F2C7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782C">
              <w:rPr>
                <w:b/>
                <w:color w:val="1F497D" w:themeColor="text2"/>
              </w:rPr>
              <w:t>Risk Level</w:t>
            </w:r>
          </w:p>
        </w:tc>
      </w:tr>
      <w:tr w:rsidR="0023298D" w:rsidTr="00AD4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vAlign w:val="center"/>
          </w:tcPr>
          <w:p w:rsidR="0023298D" w:rsidRDefault="00AD4B79" w:rsidP="00AD4B79">
            <w:pPr>
              <w:ind w:left="113" w:right="113"/>
              <w:jc w:val="center"/>
            </w:pPr>
            <w:r w:rsidRPr="00AD4B79">
              <w:rPr>
                <w:color w:val="1F497D" w:themeColor="text2"/>
                <w:sz w:val="28"/>
              </w:rPr>
              <w:t>Service Delivery</w:t>
            </w:r>
          </w:p>
        </w:tc>
        <w:tc>
          <w:tcPr>
            <w:tcW w:w="4110" w:type="dxa"/>
          </w:tcPr>
          <w:p w:rsidR="0023298D" w:rsidRPr="00F10D25" w:rsidRDefault="00A428EE" w:rsidP="00A428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Industrial Action as a result of l</w:t>
            </w:r>
            <w:r w:rsidR="00F50B15">
              <w:rPr>
                <w:rFonts w:cs="Arial"/>
                <w:sz w:val="20"/>
                <w:szCs w:val="20"/>
              </w:rPr>
              <w:t>ack of support/buy in from</w:t>
            </w:r>
            <w:r w:rsidR="004E6819" w:rsidRPr="004E6819">
              <w:rPr>
                <w:rFonts w:cs="Arial"/>
                <w:sz w:val="20"/>
                <w:szCs w:val="20"/>
              </w:rPr>
              <w:t xml:space="preserve"> representative bodies</w:t>
            </w:r>
            <w:r w:rsidR="0026688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510A1A" w:rsidRDefault="00510A1A" w:rsidP="00231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10A1A">
              <w:rPr>
                <w:rFonts w:cs="Arial"/>
                <w:sz w:val="20"/>
                <w:szCs w:val="20"/>
              </w:rPr>
              <w:t>During change process</w:t>
            </w:r>
            <w:r w:rsidR="00636C97">
              <w:rPr>
                <w:rFonts w:cs="Arial"/>
                <w:sz w:val="20"/>
                <w:szCs w:val="20"/>
              </w:rPr>
              <w:t>es</w:t>
            </w:r>
            <w:r w:rsidR="00CF0F0D">
              <w:rPr>
                <w:rFonts w:cs="Arial"/>
                <w:sz w:val="20"/>
                <w:szCs w:val="20"/>
              </w:rPr>
              <w:t xml:space="preserve"> withi</w:t>
            </w:r>
            <w:r w:rsidRPr="00510A1A">
              <w:rPr>
                <w:rFonts w:cs="Arial"/>
                <w:sz w:val="20"/>
                <w:szCs w:val="20"/>
              </w:rPr>
              <w:t xml:space="preserve">n an organisation, there may be fear </w:t>
            </w:r>
            <w:bookmarkStart w:id="0" w:name="_GoBack"/>
            <w:bookmarkEnd w:id="0"/>
            <w:r w:rsidRPr="00510A1A">
              <w:rPr>
                <w:rFonts w:cs="Arial"/>
                <w:sz w:val="20"/>
                <w:szCs w:val="20"/>
              </w:rPr>
              <w:t>of redundancy due to restructuring and the possible loss of posts. If this leads to a negative atmosphere and resentment from employees, it</w:t>
            </w:r>
            <w:r>
              <w:rPr>
                <w:rFonts w:cs="Arial"/>
                <w:sz w:val="20"/>
                <w:szCs w:val="20"/>
              </w:rPr>
              <w:t xml:space="preserve"> can lead to industrial action.</w:t>
            </w:r>
          </w:p>
          <w:p w:rsidR="00510A1A" w:rsidRDefault="00510A1A" w:rsidP="00231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383627" w:rsidRDefault="0046112C" w:rsidP="00231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Where</w:t>
            </w:r>
            <w:r w:rsidR="00F57BE4">
              <w:rPr>
                <w:rFonts w:cs="Arial"/>
                <w:sz w:val="20"/>
                <w:szCs w:val="20"/>
              </w:rPr>
              <w:t xml:space="preserve"> representative bodies are not in</w:t>
            </w:r>
            <w:r w:rsidR="00F57BE4" w:rsidRPr="00F57BE4">
              <w:rPr>
                <w:rFonts w:cs="Arial"/>
                <w:sz w:val="20"/>
                <w:szCs w:val="20"/>
              </w:rPr>
              <w:t xml:space="preserve"> </w:t>
            </w:r>
            <w:r w:rsidR="00F57BE4">
              <w:rPr>
                <w:rFonts w:cs="Arial"/>
                <w:sz w:val="20"/>
                <w:szCs w:val="20"/>
              </w:rPr>
              <w:t>support of Fire Service mergers, t</w:t>
            </w:r>
            <w:r w:rsidR="00F57BE4" w:rsidRPr="00F57BE4">
              <w:rPr>
                <w:rFonts w:cs="Arial"/>
                <w:sz w:val="20"/>
                <w:szCs w:val="20"/>
              </w:rPr>
              <w:t>his could influence decisio</w:t>
            </w:r>
            <w:r>
              <w:rPr>
                <w:rFonts w:cs="Arial"/>
                <w:sz w:val="20"/>
                <w:szCs w:val="20"/>
              </w:rPr>
              <w:t>ns made by employees, which could lead on to industrial action.</w:t>
            </w:r>
            <w:r w:rsidR="0023298D" w:rsidRPr="0023298D">
              <w:rPr>
                <w:rFonts w:cs="Arial"/>
                <w:sz w:val="20"/>
                <w:szCs w:val="20"/>
              </w:rPr>
              <w:t xml:space="preserve"> </w:t>
            </w:r>
          </w:p>
          <w:p w:rsidR="00383627" w:rsidRDefault="00383627" w:rsidP="00231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23298D" w:rsidRDefault="00383627" w:rsidP="00383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Industrial action</w:t>
            </w:r>
            <w:r w:rsidR="00231A14" w:rsidRPr="00231A14">
              <w:rPr>
                <w:rFonts w:cs="Arial"/>
                <w:sz w:val="20"/>
                <w:szCs w:val="20"/>
              </w:rPr>
              <w:t xml:space="preserve"> could impact on service delivery and ultimately public safety</w:t>
            </w:r>
            <w:r w:rsidR="00231A14">
              <w:rPr>
                <w:rFonts w:cs="Arial"/>
                <w:sz w:val="20"/>
                <w:szCs w:val="20"/>
              </w:rPr>
              <w:t>.  In addition t</w:t>
            </w:r>
            <w:r w:rsidR="0023298D" w:rsidRPr="0023298D">
              <w:rPr>
                <w:rFonts w:cs="Arial"/>
                <w:sz w:val="20"/>
                <w:szCs w:val="20"/>
              </w:rPr>
              <w:t>his could delay</w:t>
            </w:r>
            <w:r w:rsidR="00231A14">
              <w:rPr>
                <w:rFonts w:cs="Arial"/>
                <w:sz w:val="20"/>
                <w:szCs w:val="20"/>
              </w:rPr>
              <w:t xml:space="preserve"> the decision making process and</w:t>
            </w:r>
            <w:r w:rsidR="0023298D" w:rsidRPr="0023298D">
              <w:rPr>
                <w:rFonts w:cs="Arial"/>
                <w:sz w:val="20"/>
                <w:szCs w:val="20"/>
              </w:rPr>
              <w:t xml:space="preserve"> the implementation of Service changes</w:t>
            </w:r>
            <w:r w:rsidR="00231A1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954AE" w:rsidRDefault="00B954AE" w:rsidP="00A07B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Implementation of </w:t>
            </w:r>
            <w:r w:rsidR="00115CC3">
              <w:rPr>
                <w:rFonts w:cs="Arial"/>
                <w:sz w:val="20"/>
                <w:szCs w:val="20"/>
              </w:rPr>
              <w:t>a</w:t>
            </w:r>
            <w:r w:rsidR="005F2C45">
              <w:rPr>
                <w:rFonts w:cs="Arial"/>
                <w:sz w:val="20"/>
                <w:szCs w:val="20"/>
              </w:rPr>
              <w:t>n effective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F2C45">
              <w:rPr>
                <w:rFonts w:cs="Arial"/>
                <w:sz w:val="20"/>
                <w:szCs w:val="20"/>
              </w:rPr>
              <w:t xml:space="preserve">employee focused </w:t>
            </w:r>
            <w:r>
              <w:rPr>
                <w:rFonts w:cs="Arial"/>
                <w:sz w:val="20"/>
                <w:szCs w:val="20"/>
              </w:rPr>
              <w:t>communication strategy</w:t>
            </w:r>
            <w:r w:rsidR="00115CC3">
              <w:rPr>
                <w:rFonts w:cs="Arial"/>
                <w:sz w:val="20"/>
                <w:szCs w:val="20"/>
              </w:rPr>
              <w:t>.</w:t>
            </w:r>
            <w:r w:rsidR="00115CC3">
              <w:t xml:space="preserve"> </w:t>
            </w:r>
            <w:r w:rsidR="00115CC3" w:rsidRPr="00115CC3">
              <w:rPr>
                <w:rFonts w:cs="Arial"/>
                <w:sz w:val="20"/>
                <w:szCs w:val="20"/>
              </w:rPr>
              <w:t xml:space="preserve">Review of support mechanisms such as occupational health, Human Resources, and </w:t>
            </w:r>
            <w:r w:rsidR="00B64162">
              <w:rPr>
                <w:rFonts w:cs="Arial"/>
                <w:sz w:val="20"/>
                <w:szCs w:val="20"/>
              </w:rPr>
              <w:t xml:space="preserve">the </w:t>
            </w:r>
            <w:r w:rsidR="005F2C45">
              <w:rPr>
                <w:rFonts w:cs="Arial"/>
                <w:sz w:val="20"/>
                <w:szCs w:val="20"/>
              </w:rPr>
              <w:t xml:space="preserve">potential </w:t>
            </w:r>
            <w:r w:rsidR="00B64162">
              <w:rPr>
                <w:rFonts w:cs="Arial"/>
                <w:sz w:val="20"/>
                <w:szCs w:val="20"/>
              </w:rPr>
              <w:t xml:space="preserve">to </w:t>
            </w:r>
            <w:r w:rsidR="00115CC3" w:rsidRPr="00115CC3">
              <w:rPr>
                <w:rFonts w:cs="Arial"/>
                <w:sz w:val="20"/>
                <w:szCs w:val="20"/>
              </w:rPr>
              <w:t>develop a taskforce for redeployment suppor</w:t>
            </w:r>
            <w:r w:rsidR="00115CC3">
              <w:rPr>
                <w:rFonts w:cs="Arial"/>
                <w:sz w:val="20"/>
                <w:szCs w:val="20"/>
              </w:rPr>
              <w:t>t.</w:t>
            </w:r>
          </w:p>
          <w:p w:rsidR="00B954AE" w:rsidRDefault="00B954AE" w:rsidP="00A07B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940318" w:rsidRDefault="00302144" w:rsidP="00A07B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programme team will m</w:t>
            </w:r>
            <w:r w:rsidR="00940318">
              <w:rPr>
                <w:rFonts w:cs="Arial"/>
                <w:sz w:val="20"/>
                <w:szCs w:val="20"/>
              </w:rPr>
              <w:t>aintain open dialogue and hold</w:t>
            </w:r>
          </w:p>
          <w:p w:rsidR="0023298D" w:rsidRDefault="00940318" w:rsidP="00302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302144">
              <w:rPr>
                <w:rFonts w:cs="Arial"/>
                <w:sz w:val="20"/>
                <w:szCs w:val="20"/>
              </w:rPr>
              <w:t xml:space="preserve">egular </w:t>
            </w:r>
            <w:r w:rsidR="005F2C45">
              <w:rPr>
                <w:rFonts w:cs="Arial"/>
                <w:sz w:val="20"/>
                <w:szCs w:val="20"/>
              </w:rPr>
              <w:t xml:space="preserve">and </w:t>
            </w:r>
            <w:r w:rsidR="00302144">
              <w:rPr>
                <w:rFonts w:cs="Arial"/>
                <w:sz w:val="20"/>
                <w:szCs w:val="20"/>
              </w:rPr>
              <w:t>timely briefings with representative bodies.</w:t>
            </w:r>
          </w:p>
          <w:p w:rsidR="00B954AE" w:rsidRDefault="00B954AE" w:rsidP="001621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302144" w:rsidRPr="007F1CC3" w:rsidRDefault="00952ED5" w:rsidP="005F2C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likelihood of this risk transpiring is greatly reduced </w:t>
            </w:r>
            <w:r w:rsidR="005F2C45">
              <w:rPr>
                <w:rFonts w:cs="Arial"/>
                <w:sz w:val="20"/>
                <w:szCs w:val="20"/>
              </w:rPr>
              <w:t xml:space="preserve">as the </w:t>
            </w:r>
            <w:r w:rsidR="001621F7">
              <w:rPr>
                <w:rFonts w:cs="Arial"/>
                <w:sz w:val="20"/>
                <w:szCs w:val="20"/>
              </w:rPr>
              <w:t>programme</w:t>
            </w:r>
            <w:r w:rsidR="005F2C45">
              <w:rPr>
                <w:rFonts w:cs="Arial"/>
                <w:sz w:val="20"/>
                <w:szCs w:val="20"/>
              </w:rPr>
              <w:t xml:space="preserve"> will not be focused on reducing</w:t>
            </w:r>
            <w:r w:rsidR="001621F7">
              <w:rPr>
                <w:rFonts w:cs="Arial"/>
                <w:sz w:val="20"/>
                <w:szCs w:val="20"/>
              </w:rPr>
              <w:t xml:space="preserve"> fire fighter numbers </w:t>
            </w:r>
            <w:r w:rsidR="00730243">
              <w:rPr>
                <w:rFonts w:cs="Arial"/>
                <w:sz w:val="20"/>
                <w:szCs w:val="20"/>
              </w:rPr>
              <w:t>or fire</w:t>
            </w:r>
            <w:r w:rsidR="001621F7">
              <w:rPr>
                <w:rFonts w:cs="Arial"/>
                <w:sz w:val="20"/>
                <w:szCs w:val="20"/>
              </w:rPr>
              <w:t xml:space="preserve"> station closures.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3298D" w:rsidRPr="003E1C27" w:rsidRDefault="004E6819" w:rsidP="00952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52ED5">
              <w:rPr>
                <w:rFonts w:cs="Arial"/>
                <w:b/>
                <w:sz w:val="20"/>
                <w:szCs w:val="20"/>
              </w:rPr>
              <w:t>Low</w:t>
            </w:r>
          </w:p>
        </w:tc>
        <w:tc>
          <w:tcPr>
            <w:tcW w:w="1134" w:type="dxa"/>
            <w:vAlign w:val="center"/>
          </w:tcPr>
          <w:p w:rsidR="0023298D" w:rsidRPr="003E1C27" w:rsidRDefault="00940318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92D050"/>
          </w:tcPr>
          <w:p w:rsidR="0023298D" w:rsidRDefault="0023298D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90EFA" w:rsidTr="008A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90EFA" w:rsidRDefault="00E90EFA" w:rsidP="001044BA"/>
        </w:tc>
        <w:tc>
          <w:tcPr>
            <w:tcW w:w="4110" w:type="dxa"/>
          </w:tcPr>
          <w:p w:rsidR="00E90EFA" w:rsidRPr="00F10D25" w:rsidRDefault="00E90EFA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Frontlin</w:t>
            </w:r>
            <w:r w:rsidR="0026688C">
              <w:rPr>
                <w:rFonts w:cs="Arial"/>
                <w:sz w:val="20"/>
                <w:szCs w:val="20"/>
              </w:rPr>
              <w:t>e services cannot be maintained.</w:t>
            </w:r>
          </w:p>
        </w:tc>
        <w:tc>
          <w:tcPr>
            <w:tcW w:w="4111" w:type="dxa"/>
          </w:tcPr>
          <w:p w:rsidR="00E90EFA" w:rsidRDefault="00695665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0BC7">
              <w:rPr>
                <w:rFonts w:cs="Arial"/>
                <w:sz w:val="20"/>
                <w:szCs w:val="20"/>
              </w:rPr>
              <w:t xml:space="preserve">Reduced levels of availability of operational staff, </w:t>
            </w:r>
            <w:r>
              <w:rPr>
                <w:rFonts w:cs="Arial"/>
                <w:sz w:val="20"/>
                <w:szCs w:val="20"/>
              </w:rPr>
              <w:t xml:space="preserve">will lead to an increase in response times and an overall </w:t>
            </w:r>
            <w:r w:rsidRPr="006B0BC7">
              <w:rPr>
                <w:rFonts w:cs="Arial"/>
                <w:sz w:val="20"/>
                <w:szCs w:val="20"/>
              </w:rPr>
              <w:t xml:space="preserve">delay </w:t>
            </w:r>
            <w:r>
              <w:rPr>
                <w:rFonts w:cs="Arial"/>
                <w:sz w:val="20"/>
                <w:szCs w:val="20"/>
              </w:rPr>
              <w:t xml:space="preserve">in </w:t>
            </w:r>
            <w:r w:rsidRPr="006B0BC7">
              <w:rPr>
                <w:rFonts w:cs="Arial"/>
                <w:sz w:val="20"/>
                <w:szCs w:val="20"/>
              </w:rPr>
              <w:t>emergency response</w:t>
            </w:r>
            <w:r>
              <w:rPr>
                <w:rFonts w:cs="Arial"/>
                <w:sz w:val="20"/>
                <w:szCs w:val="20"/>
              </w:rPr>
              <w:t xml:space="preserve"> to all incident types.</w:t>
            </w:r>
          </w:p>
          <w:p w:rsidR="007E34DC" w:rsidRDefault="007E34DC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7E34DC" w:rsidRPr="00F10D25" w:rsidRDefault="007E34DC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90EFA" w:rsidRPr="007F1CC3" w:rsidRDefault="00D66AE5" w:rsidP="00A24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creating </w:t>
            </w:r>
            <w:r w:rsidR="001621F7">
              <w:rPr>
                <w:rFonts w:cs="Arial"/>
                <w:sz w:val="20"/>
                <w:szCs w:val="20"/>
              </w:rPr>
              <w:t>the</w:t>
            </w:r>
            <w:r w:rsidR="00302144" w:rsidRPr="00302144">
              <w:rPr>
                <w:rFonts w:cs="Arial"/>
                <w:sz w:val="20"/>
                <w:szCs w:val="20"/>
              </w:rPr>
              <w:t xml:space="preserve"> new Combined Fire Authority</w:t>
            </w:r>
            <w:r w:rsidR="001621F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730243">
              <w:rPr>
                <w:rFonts w:cs="Arial"/>
                <w:sz w:val="20"/>
                <w:szCs w:val="20"/>
              </w:rPr>
              <w:t xml:space="preserve">business case identifies that </w:t>
            </w:r>
            <w:r>
              <w:rPr>
                <w:rFonts w:cs="Arial"/>
                <w:sz w:val="20"/>
                <w:szCs w:val="20"/>
              </w:rPr>
              <w:t>initial</w:t>
            </w:r>
            <w:r w:rsidR="001621F7">
              <w:rPr>
                <w:rFonts w:cs="Arial"/>
                <w:sz w:val="20"/>
                <w:szCs w:val="20"/>
              </w:rPr>
              <w:t xml:space="preserve"> savings </w:t>
            </w:r>
            <w:r w:rsidR="00730243">
              <w:rPr>
                <w:rFonts w:cs="Arial"/>
                <w:sz w:val="20"/>
                <w:szCs w:val="20"/>
              </w:rPr>
              <w:t>will be</w:t>
            </w:r>
            <w:r w:rsidR="00302144" w:rsidRPr="00302144">
              <w:rPr>
                <w:rFonts w:cs="Arial"/>
                <w:sz w:val="20"/>
                <w:szCs w:val="20"/>
              </w:rPr>
              <w:t xml:space="preserve"> realised in areas that do not directly impact on the number of fire stations</w:t>
            </w:r>
            <w:r w:rsidR="00730243">
              <w:rPr>
                <w:rFonts w:cs="Arial"/>
                <w:sz w:val="20"/>
                <w:szCs w:val="20"/>
              </w:rPr>
              <w:t xml:space="preserve">. This will </w:t>
            </w:r>
            <w:r w:rsidR="0076098B">
              <w:rPr>
                <w:rFonts w:cs="Arial"/>
                <w:sz w:val="20"/>
                <w:szCs w:val="20"/>
              </w:rPr>
              <w:t>ensure that</w:t>
            </w:r>
            <w:r w:rsidR="00730243">
              <w:rPr>
                <w:rFonts w:cs="Arial"/>
                <w:sz w:val="20"/>
                <w:szCs w:val="20"/>
              </w:rPr>
              <w:t xml:space="preserve"> operational resources will initially remain in place, although a full review of the new Authorities Integrated Risk Management Plan </w:t>
            </w:r>
            <w:r w:rsidR="00A24026">
              <w:rPr>
                <w:rFonts w:cs="Arial"/>
                <w:sz w:val="20"/>
                <w:szCs w:val="20"/>
              </w:rPr>
              <w:t xml:space="preserve">(IRMP) </w:t>
            </w:r>
            <w:r w:rsidR="00730243">
              <w:rPr>
                <w:rFonts w:cs="Arial"/>
                <w:sz w:val="20"/>
                <w:szCs w:val="20"/>
              </w:rPr>
              <w:t>will ne</w:t>
            </w:r>
            <w:r w:rsidR="00A24026">
              <w:rPr>
                <w:rFonts w:cs="Arial"/>
                <w:sz w:val="20"/>
                <w:szCs w:val="20"/>
              </w:rPr>
              <w:t>ed to be undertaken at some stage</w:t>
            </w:r>
            <w:r w:rsidR="00730243">
              <w:rPr>
                <w:rFonts w:cs="Arial"/>
                <w:sz w:val="20"/>
                <w:szCs w:val="20"/>
              </w:rPr>
              <w:t xml:space="preserve"> </w:t>
            </w:r>
            <w:r w:rsidR="00A24026">
              <w:rPr>
                <w:rFonts w:cs="Arial"/>
                <w:sz w:val="20"/>
                <w:szCs w:val="20"/>
              </w:rPr>
              <w:t xml:space="preserve">after </w:t>
            </w:r>
            <w:r w:rsidR="00636C97">
              <w:rPr>
                <w:rFonts w:cs="Arial"/>
                <w:sz w:val="20"/>
                <w:szCs w:val="20"/>
              </w:rPr>
              <w:t xml:space="preserve">the </w:t>
            </w:r>
            <w:r w:rsidR="00A24026">
              <w:rPr>
                <w:rFonts w:cs="Arial"/>
                <w:sz w:val="20"/>
                <w:szCs w:val="20"/>
              </w:rPr>
              <w:t>combination</w:t>
            </w:r>
            <w:r w:rsidR="00636C97">
              <w:rPr>
                <w:rFonts w:cs="Arial"/>
                <w:sz w:val="20"/>
                <w:szCs w:val="20"/>
              </w:rPr>
              <w:t xml:space="preserve"> </w:t>
            </w:r>
            <w:r w:rsidR="00636C97">
              <w:rPr>
                <w:rFonts w:cs="Arial"/>
                <w:sz w:val="20"/>
                <w:szCs w:val="20"/>
              </w:rPr>
              <w:lastRenderedPageBreak/>
              <w:t>order is ratified</w:t>
            </w:r>
            <w:r w:rsidR="00A24026">
              <w:rPr>
                <w:rFonts w:cs="Arial"/>
                <w:sz w:val="20"/>
                <w:szCs w:val="20"/>
              </w:rPr>
              <w:t>. Any proposed revisions to the IRMP</w:t>
            </w:r>
            <w:r w:rsidR="00730243">
              <w:rPr>
                <w:rFonts w:cs="Arial"/>
                <w:sz w:val="20"/>
                <w:szCs w:val="20"/>
              </w:rPr>
              <w:t xml:space="preserve"> would be subject to stakeholder engagement and public consultation.</w:t>
            </w:r>
          </w:p>
        </w:tc>
        <w:tc>
          <w:tcPr>
            <w:tcW w:w="1134" w:type="dxa"/>
            <w:vAlign w:val="center"/>
          </w:tcPr>
          <w:p w:rsidR="00E90EFA" w:rsidRPr="003E1C27" w:rsidRDefault="00E90EFA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Low</w:t>
            </w:r>
          </w:p>
        </w:tc>
        <w:tc>
          <w:tcPr>
            <w:tcW w:w="1134" w:type="dxa"/>
            <w:vAlign w:val="center"/>
          </w:tcPr>
          <w:p w:rsidR="00E90EFA" w:rsidRPr="003E1C27" w:rsidRDefault="00E90EFA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Very High</w:t>
            </w:r>
          </w:p>
        </w:tc>
        <w:tc>
          <w:tcPr>
            <w:tcW w:w="1134" w:type="dxa"/>
            <w:shd w:val="clear" w:color="auto" w:fill="92D050"/>
          </w:tcPr>
          <w:p w:rsidR="00E90EFA" w:rsidRDefault="00E90EFA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EFA" w:rsidTr="008A44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90EFA" w:rsidRDefault="00E90EFA" w:rsidP="001044BA"/>
        </w:tc>
        <w:tc>
          <w:tcPr>
            <w:tcW w:w="4110" w:type="dxa"/>
          </w:tcPr>
          <w:p w:rsidR="00E90EFA" w:rsidRDefault="009F2754" w:rsidP="00D84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0782C">
              <w:rPr>
                <w:rFonts w:cs="Arial"/>
                <w:sz w:val="20"/>
                <w:szCs w:val="20"/>
              </w:rPr>
              <w:t>Negative reaction from the public</w:t>
            </w:r>
            <w:r w:rsidR="0026688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C1382E" w:rsidRPr="00C1382E" w:rsidRDefault="00C1382E" w:rsidP="00C138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382E">
              <w:rPr>
                <w:rFonts w:cs="Arial"/>
                <w:sz w:val="20"/>
                <w:szCs w:val="20"/>
              </w:rPr>
              <w:t>Negative public reaction is likely where visible cuts are made, i.e. closure of fire station</w:t>
            </w:r>
            <w:r w:rsidR="007E34DC">
              <w:rPr>
                <w:rFonts w:cs="Arial"/>
                <w:sz w:val="20"/>
                <w:szCs w:val="20"/>
              </w:rPr>
              <w:t xml:space="preserve">s with the associated </w:t>
            </w:r>
            <w:r w:rsidR="00CA0A19">
              <w:rPr>
                <w:rFonts w:cs="Arial"/>
                <w:sz w:val="20"/>
                <w:szCs w:val="20"/>
              </w:rPr>
              <w:t xml:space="preserve">belief that this would lead to a </w:t>
            </w:r>
            <w:r w:rsidR="007E34DC">
              <w:rPr>
                <w:rFonts w:cs="Arial"/>
                <w:sz w:val="20"/>
                <w:szCs w:val="20"/>
              </w:rPr>
              <w:t xml:space="preserve">potential increase </w:t>
            </w:r>
            <w:r w:rsidR="0094733A">
              <w:rPr>
                <w:rFonts w:cs="Arial"/>
                <w:sz w:val="20"/>
                <w:szCs w:val="20"/>
              </w:rPr>
              <w:t>in</w:t>
            </w:r>
            <w:r w:rsidRPr="00C1382E">
              <w:rPr>
                <w:rFonts w:cs="Arial"/>
                <w:sz w:val="20"/>
                <w:szCs w:val="20"/>
              </w:rPr>
              <w:t xml:space="preserve"> serious injuries and fatalities.  This will </w:t>
            </w:r>
            <w:r w:rsidR="00CA0A19">
              <w:rPr>
                <w:rFonts w:cs="Arial"/>
                <w:sz w:val="20"/>
                <w:szCs w:val="20"/>
              </w:rPr>
              <w:t xml:space="preserve">potentially </w:t>
            </w:r>
            <w:r w:rsidRPr="00C1382E">
              <w:rPr>
                <w:rFonts w:cs="Arial"/>
                <w:sz w:val="20"/>
                <w:szCs w:val="20"/>
              </w:rPr>
              <w:t xml:space="preserve">impact on the Services reputation and prompt further political and representative body interest. </w:t>
            </w:r>
          </w:p>
          <w:p w:rsidR="00E90EFA" w:rsidRPr="007F1CC3" w:rsidRDefault="00C1382E" w:rsidP="00C138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382E">
              <w:rPr>
                <w:rFonts w:cs="Arial"/>
                <w:sz w:val="20"/>
                <w:szCs w:val="20"/>
              </w:rPr>
              <w:t>Potential negative media interest resulting in adverse publicity.</w:t>
            </w:r>
          </w:p>
        </w:tc>
        <w:tc>
          <w:tcPr>
            <w:tcW w:w="3119" w:type="dxa"/>
          </w:tcPr>
          <w:p w:rsidR="0060782C" w:rsidRDefault="0060782C" w:rsidP="007E34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combination </w:t>
            </w:r>
            <w:r w:rsidR="00CA0A19">
              <w:rPr>
                <w:rFonts w:cs="Arial"/>
                <w:sz w:val="20"/>
                <w:szCs w:val="20"/>
              </w:rPr>
              <w:t xml:space="preserve">business case and associated change programme focuses on highlighting the potential to make initial savings in the region of £4 million from streamlining support functions and from realising corporate efficiencies. No plans have been developed to immediately revise or degrade existing response arrangements. </w:t>
            </w:r>
          </w:p>
          <w:p w:rsidR="00B41ECC" w:rsidRPr="007F1CC3" w:rsidRDefault="00CA0A19" w:rsidP="009473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m</w:t>
            </w:r>
            <w:r w:rsidR="00B41ECC">
              <w:rPr>
                <w:rFonts w:cs="Arial"/>
                <w:sz w:val="20"/>
                <w:szCs w:val="20"/>
              </w:rPr>
              <w:t xml:space="preserve">edia </w:t>
            </w:r>
            <w:r w:rsidR="001E0F8B">
              <w:rPr>
                <w:rFonts w:cs="Arial"/>
                <w:sz w:val="20"/>
                <w:szCs w:val="20"/>
              </w:rPr>
              <w:t>strateg</w:t>
            </w:r>
            <w:r>
              <w:rPr>
                <w:rFonts w:cs="Arial"/>
                <w:sz w:val="20"/>
                <w:szCs w:val="20"/>
              </w:rPr>
              <w:t>y</w:t>
            </w:r>
            <w:r w:rsidR="001E0F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</w:t>
            </w:r>
            <w:r w:rsidR="001E0F8B">
              <w:rPr>
                <w:rFonts w:cs="Arial"/>
                <w:sz w:val="20"/>
                <w:szCs w:val="20"/>
              </w:rPr>
              <w:t xml:space="preserve"> be</w:t>
            </w:r>
            <w:r>
              <w:rPr>
                <w:rFonts w:cs="Arial"/>
                <w:sz w:val="20"/>
                <w:szCs w:val="20"/>
              </w:rPr>
              <w:t xml:space="preserve"> developed</w:t>
            </w:r>
            <w:r w:rsidR="001E0F8B">
              <w:rPr>
                <w:rFonts w:cs="Arial"/>
                <w:sz w:val="20"/>
                <w:szCs w:val="20"/>
              </w:rPr>
              <w:t xml:space="preserve"> to ensure consistent and appropriate communications are</w:t>
            </w:r>
            <w:r w:rsidR="00B41EC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consistently delivered highlighting areas of focus within the programme and </w:t>
            </w:r>
            <w:r w:rsidR="0094733A">
              <w:rPr>
                <w:rFonts w:cs="Arial"/>
                <w:sz w:val="20"/>
                <w:szCs w:val="20"/>
              </w:rPr>
              <w:t xml:space="preserve">progress against </w:t>
            </w:r>
            <w:r>
              <w:rPr>
                <w:rFonts w:cs="Arial"/>
                <w:sz w:val="20"/>
                <w:szCs w:val="20"/>
              </w:rPr>
              <w:t>proposed financial savings.</w:t>
            </w:r>
          </w:p>
        </w:tc>
        <w:tc>
          <w:tcPr>
            <w:tcW w:w="1134" w:type="dxa"/>
            <w:vAlign w:val="center"/>
          </w:tcPr>
          <w:p w:rsidR="00E90EFA" w:rsidRPr="003E1C27" w:rsidRDefault="0060782C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Low</w:t>
            </w:r>
          </w:p>
        </w:tc>
        <w:tc>
          <w:tcPr>
            <w:tcW w:w="1134" w:type="dxa"/>
            <w:vAlign w:val="center"/>
          </w:tcPr>
          <w:p w:rsidR="00E90EFA" w:rsidRPr="003E1C27" w:rsidRDefault="0060782C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shd w:val="clear" w:color="auto" w:fill="92D050"/>
          </w:tcPr>
          <w:p w:rsidR="00E90EFA" w:rsidRDefault="00E90EFA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15B4" w:rsidTr="0048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vAlign w:val="center"/>
          </w:tcPr>
          <w:p w:rsidR="000A15B4" w:rsidRDefault="000A15B4" w:rsidP="001044BA">
            <w:pPr>
              <w:ind w:left="113" w:right="113"/>
              <w:jc w:val="center"/>
            </w:pPr>
            <w:r w:rsidRPr="003C1C6B">
              <w:rPr>
                <w:color w:val="1F497D" w:themeColor="text2"/>
                <w:sz w:val="28"/>
              </w:rPr>
              <w:t>Governance and Legal</w:t>
            </w:r>
          </w:p>
        </w:tc>
        <w:tc>
          <w:tcPr>
            <w:tcW w:w="4110" w:type="dxa"/>
          </w:tcPr>
          <w:p w:rsidR="000A15B4" w:rsidRDefault="004639D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Combination Order d</w:t>
            </w:r>
            <w:r w:rsidR="000A15B4" w:rsidRPr="00982920">
              <w:rPr>
                <w:rFonts w:cs="Arial"/>
                <w:sz w:val="20"/>
                <w:szCs w:val="20"/>
              </w:rPr>
              <w:t>elay</w:t>
            </w:r>
            <w:r w:rsidR="000A15B4">
              <w:rPr>
                <w:rFonts w:cs="Arial"/>
                <w:sz w:val="20"/>
                <w:szCs w:val="20"/>
              </w:rPr>
              <w:t xml:space="preserve"> due to parliamentary pressures. </w:t>
            </w:r>
          </w:p>
        </w:tc>
        <w:tc>
          <w:tcPr>
            <w:tcW w:w="4111" w:type="dxa"/>
          </w:tcPr>
          <w:p w:rsidR="000A15B4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Delays in </w:t>
            </w:r>
            <w:r w:rsidR="000A761A">
              <w:rPr>
                <w:rFonts w:cs="Arial"/>
                <w:sz w:val="20"/>
                <w:szCs w:val="20"/>
              </w:rPr>
              <w:t xml:space="preserve">the </w:t>
            </w:r>
            <w:r w:rsidRPr="00982920">
              <w:rPr>
                <w:rFonts w:cs="Arial"/>
                <w:sz w:val="20"/>
                <w:szCs w:val="20"/>
              </w:rPr>
              <w:t>Parliamentary handling</w:t>
            </w:r>
            <w:r w:rsidR="000A761A">
              <w:rPr>
                <w:rFonts w:cs="Arial"/>
                <w:sz w:val="20"/>
                <w:szCs w:val="20"/>
              </w:rPr>
              <w:t xml:space="preserve"> of the Combination Order</w:t>
            </w:r>
            <w:r w:rsidRPr="00982920">
              <w:rPr>
                <w:rFonts w:cs="Arial"/>
                <w:sz w:val="20"/>
                <w:szCs w:val="20"/>
              </w:rPr>
              <w:t xml:space="preserve"> or </w:t>
            </w:r>
            <w:r>
              <w:rPr>
                <w:rFonts w:cs="Arial"/>
                <w:sz w:val="20"/>
                <w:szCs w:val="20"/>
              </w:rPr>
              <w:t xml:space="preserve">a requirement for </w:t>
            </w:r>
            <w:r w:rsidRPr="00982920">
              <w:rPr>
                <w:rFonts w:cs="Arial"/>
                <w:sz w:val="20"/>
                <w:szCs w:val="20"/>
              </w:rPr>
              <w:t xml:space="preserve">significant amendments </w:t>
            </w:r>
            <w:r>
              <w:rPr>
                <w:rFonts w:cs="Arial"/>
                <w:sz w:val="20"/>
                <w:szCs w:val="20"/>
              </w:rPr>
              <w:t>will result</w:t>
            </w:r>
            <w:r w:rsidRPr="00982920">
              <w:rPr>
                <w:rFonts w:cs="Arial"/>
                <w:sz w:val="20"/>
                <w:szCs w:val="20"/>
              </w:rPr>
              <w:t xml:space="preserve"> in delays to implementation and </w:t>
            </w:r>
            <w:r>
              <w:rPr>
                <w:rFonts w:cs="Arial"/>
                <w:sz w:val="20"/>
                <w:szCs w:val="20"/>
              </w:rPr>
              <w:t xml:space="preserve">delay </w:t>
            </w:r>
            <w:r w:rsidRPr="00982920">
              <w:rPr>
                <w:rFonts w:cs="Arial"/>
                <w:sz w:val="20"/>
                <w:szCs w:val="20"/>
              </w:rPr>
              <w:t>benefits realisation.</w:t>
            </w:r>
          </w:p>
          <w:p w:rsidR="000A15B4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0A15B4" w:rsidRPr="007F1CC3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15B4" w:rsidRDefault="000A761A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Service to e</w:t>
            </w:r>
            <w:r w:rsidR="000A15B4">
              <w:rPr>
                <w:rFonts w:cs="Arial"/>
                <w:sz w:val="20"/>
                <w:szCs w:val="20"/>
              </w:rPr>
              <w:t>nsure continued engagement with DCLG</w:t>
            </w:r>
            <w:r>
              <w:rPr>
                <w:rFonts w:cs="Arial"/>
                <w:sz w:val="20"/>
                <w:szCs w:val="20"/>
              </w:rPr>
              <w:t xml:space="preserve"> and attendance at </w:t>
            </w:r>
            <w:r w:rsidR="000A15B4">
              <w:rPr>
                <w:rFonts w:cs="Arial"/>
                <w:sz w:val="20"/>
                <w:szCs w:val="20"/>
              </w:rPr>
              <w:t>Ministerial meetings</w:t>
            </w:r>
            <w:r w:rsidR="007E1786">
              <w:rPr>
                <w:rFonts w:cs="Arial"/>
                <w:sz w:val="20"/>
                <w:szCs w:val="20"/>
              </w:rPr>
              <w:t>.</w:t>
            </w:r>
          </w:p>
          <w:p w:rsidR="000A15B4" w:rsidRDefault="007E1786" w:rsidP="007E1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early e</w:t>
            </w:r>
            <w:r w:rsidR="000A15B4">
              <w:rPr>
                <w:rFonts w:cs="Arial"/>
                <w:sz w:val="20"/>
                <w:szCs w:val="20"/>
              </w:rPr>
              <w:t>ngage</w:t>
            </w:r>
            <w:r>
              <w:rPr>
                <w:rFonts w:cs="Arial"/>
                <w:sz w:val="20"/>
                <w:szCs w:val="20"/>
              </w:rPr>
              <w:t>ment of</w:t>
            </w:r>
            <w:r w:rsidR="000A15B4">
              <w:rPr>
                <w:rFonts w:cs="Arial"/>
                <w:sz w:val="20"/>
                <w:szCs w:val="20"/>
              </w:rPr>
              <w:t xml:space="preserve"> lawyers </w:t>
            </w:r>
            <w:r w:rsidR="00046097">
              <w:rPr>
                <w:rFonts w:cs="Arial"/>
                <w:sz w:val="20"/>
                <w:szCs w:val="20"/>
              </w:rPr>
              <w:t xml:space="preserve">to </w:t>
            </w:r>
            <w:r w:rsidR="000A15B4">
              <w:rPr>
                <w:rFonts w:cs="Arial"/>
                <w:sz w:val="20"/>
                <w:szCs w:val="20"/>
              </w:rPr>
              <w:t>support</w:t>
            </w:r>
            <w:r w:rsidR="00046097">
              <w:rPr>
                <w:rFonts w:cs="Arial"/>
                <w:sz w:val="20"/>
                <w:szCs w:val="20"/>
              </w:rPr>
              <w:t xml:space="preserve"> the</w:t>
            </w:r>
            <w:r w:rsidR="000A15B4">
              <w:rPr>
                <w:rFonts w:cs="Arial"/>
                <w:sz w:val="20"/>
                <w:szCs w:val="20"/>
              </w:rPr>
              <w:t xml:space="preserve"> progress of this work.</w:t>
            </w:r>
          </w:p>
          <w:p w:rsidR="00BD79D7" w:rsidRPr="007F1CC3" w:rsidRDefault="00BD79D7" w:rsidP="007E1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Continued communication with key stakeholders to ensure benefits and potential governance arrangements of the new Combined Fire Authority meet with their expectations</w:t>
            </w:r>
            <w:r w:rsidR="004639D4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as far as is possible</w:t>
            </w:r>
            <w:r w:rsidR="004639D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 order to alleviate concerns.</w:t>
            </w:r>
          </w:p>
        </w:tc>
        <w:tc>
          <w:tcPr>
            <w:tcW w:w="1134" w:type="dxa"/>
            <w:vAlign w:val="center"/>
          </w:tcPr>
          <w:p w:rsidR="000A15B4" w:rsidRPr="003E1C27" w:rsidRDefault="0042757F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0A15B4" w:rsidRPr="003E1C27" w:rsidRDefault="0042757F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5B4" w:rsidTr="00324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0A15B4" w:rsidRDefault="000A15B4" w:rsidP="001044BA"/>
        </w:tc>
        <w:tc>
          <w:tcPr>
            <w:tcW w:w="4110" w:type="dxa"/>
          </w:tcPr>
          <w:p w:rsidR="000A15B4" w:rsidRPr="00F10D25" w:rsidRDefault="00EA63B4" w:rsidP="00BD1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Inadequate</w:t>
            </w:r>
            <w:r w:rsidR="00BD122E">
              <w:rPr>
                <w:rFonts w:cs="Arial"/>
                <w:sz w:val="20"/>
                <w:szCs w:val="20"/>
              </w:rPr>
              <w:t xml:space="preserve"> leadership and </w:t>
            </w:r>
            <w:r w:rsidR="000A15B4">
              <w:rPr>
                <w:rFonts w:cs="Arial"/>
                <w:sz w:val="20"/>
                <w:szCs w:val="20"/>
              </w:rPr>
              <w:t>governance arrangements.</w:t>
            </w:r>
          </w:p>
        </w:tc>
        <w:tc>
          <w:tcPr>
            <w:tcW w:w="4111" w:type="dxa"/>
          </w:tcPr>
          <w:p w:rsidR="0040503A" w:rsidRDefault="007F01C8" w:rsidP="004050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i</w:t>
            </w:r>
            <w:r w:rsidR="003773AB">
              <w:rPr>
                <w:rFonts w:cs="Arial"/>
                <w:sz w:val="20"/>
                <w:szCs w:val="20"/>
              </w:rPr>
              <w:t xml:space="preserve">nsufficient </w:t>
            </w:r>
            <w:r>
              <w:rPr>
                <w:rFonts w:cs="Arial"/>
                <w:sz w:val="20"/>
                <w:szCs w:val="20"/>
              </w:rPr>
              <w:t xml:space="preserve">and/or ineffective </w:t>
            </w:r>
            <w:r w:rsidR="003773AB">
              <w:rPr>
                <w:rFonts w:cs="Arial"/>
                <w:sz w:val="20"/>
                <w:szCs w:val="20"/>
              </w:rPr>
              <w:t xml:space="preserve">governance arrangement </w:t>
            </w:r>
            <w:r>
              <w:rPr>
                <w:rFonts w:cs="Arial"/>
                <w:sz w:val="20"/>
                <w:szCs w:val="20"/>
              </w:rPr>
              <w:t xml:space="preserve">are developed this </w:t>
            </w:r>
            <w:r w:rsidR="003773AB">
              <w:rPr>
                <w:rFonts w:cs="Arial"/>
                <w:sz w:val="20"/>
                <w:szCs w:val="20"/>
              </w:rPr>
              <w:t xml:space="preserve">could result in </w:t>
            </w:r>
            <w:r>
              <w:rPr>
                <w:rFonts w:cs="Arial"/>
                <w:sz w:val="20"/>
                <w:szCs w:val="20"/>
              </w:rPr>
              <w:t xml:space="preserve">key stakeholders losing confidence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 the new Combined Fire Authority and/or </w:t>
            </w:r>
            <w:r w:rsidR="003773AB">
              <w:rPr>
                <w:rFonts w:cs="Arial"/>
                <w:sz w:val="20"/>
                <w:szCs w:val="20"/>
              </w:rPr>
              <w:t>l</w:t>
            </w:r>
            <w:r w:rsidR="003773AB" w:rsidRPr="003773AB">
              <w:rPr>
                <w:rFonts w:cs="Arial"/>
                <w:sz w:val="20"/>
                <w:szCs w:val="20"/>
              </w:rPr>
              <w:t>egal action being taken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A15B4" w:rsidRPr="00F10D25" w:rsidRDefault="007F01C8" w:rsidP="007F0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40503A">
              <w:rPr>
                <w:rFonts w:cs="Arial"/>
                <w:sz w:val="20"/>
                <w:szCs w:val="20"/>
              </w:rPr>
              <w:t xml:space="preserve">oor leadership will affect the </w:t>
            </w:r>
            <w:r w:rsidR="00060007">
              <w:rPr>
                <w:rFonts w:cs="Arial"/>
                <w:sz w:val="20"/>
                <w:szCs w:val="20"/>
              </w:rPr>
              <w:t>delivery of the programme, its effectiveness</w:t>
            </w:r>
            <w:r w:rsidR="0040503A">
              <w:rPr>
                <w:rFonts w:cs="Arial"/>
                <w:sz w:val="20"/>
                <w:szCs w:val="20"/>
              </w:rPr>
              <w:t xml:space="preserve"> a</w:t>
            </w:r>
            <w:r w:rsidR="00060007">
              <w:rPr>
                <w:rFonts w:cs="Arial"/>
                <w:sz w:val="20"/>
                <w:szCs w:val="20"/>
              </w:rPr>
              <w:t xml:space="preserve">nd efficiencies, which ultimately could </w:t>
            </w:r>
            <w:r>
              <w:rPr>
                <w:rFonts w:cs="Arial"/>
                <w:sz w:val="20"/>
                <w:szCs w:val="20"/>
              </w:rPr>
              <w:t>impact on the reputation of the new Authority</w:t>
            </w:r>
            <w:r w:rsidR="00E169C4">
              <w:rPr>
                <w:rFonts w:cs="Arial"/>
                <w:sz w:val="20"/>
                <w:szCs w:val="20"/>
              </w:rPr>
              <w:t xml:space="preserve"> and its ability to set a balanced budget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</w:tcPr>
          <w:p w:rsidR="000A15B4" w:rsidRPr="007F1CC3" w:rsidRDefault="00E169C4" w:rsidP="00E16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Governance arrangements will be developed through member and stakeholder engagement </w:t>
            </w:r>
            <w:r>
              <w:rPr>
                <w:rFonts w:cs="Arial"/>
                <w:sz w:val="20"/>
                <w:szCs w:val="20"/>
              </w:rPr>
              <w:lastRenderedPageBreak/>
              <w:t>following best practice. S</w:t>
            </w:r>
            <w:r w:rsidR="000A15B4">
              <w:rPr>
                <w:rFonts w:cs="Arial"/>
                <w:sz w:val="20"/>
                <w:szCs w:val="20"/>
              </w:rPr>
              <w:t xml:space="preserve">hadow </w:t>
            </w:r>
            <w:r>
              <w:rPr>
                <w:rFonts w:cs="Arial"/>
                <w:sz w:val="20"/>
                <w:szCs w:val="20"/>
              </w:rPr>
              <w:t xml:space="preserve">arrangements will be developed to ensure that </w:t>
            </w:r>
            <w:r w:rsidR="000A15B4">
              <w:rPr>
                <w:rFonts w:cs="Arial"/>
                <w:sz w:val="20"/>
                <w:szCs w:val="20"/>
              </w:rPr>
              <w:t xml:space="preserve">governance arrangements </w:t>
            </w:r>
            <w:r>
              <w:rPr>
                <w:rFonts w:cs="Arial"/>
                <w:sz w:val="20"/>
                <w:szCs w:val="20"/>
              </w:rPr>
              <w:t xml:space="preserve">are robust and </w:t>
            </w:r>
            <w:r w:rsidR="00237E25">
              <w:rPr>
                <w:rFonts w:cs="Arial"/>
                <w:sz w:val="20"/>
                <w:szCs w:val="20"/>
              </w:rPr>
              <w:t xml:space="preserve">that </w:t>
            </w:r>
            <w:r>
              <w:rPr>
                <w:rFonts w:cs="Arial"/>
                <w:sz w:val="20"/>
                <w:szCs w:val="20"/>
              </w:rPr>
              <w:t xml:space="preserve">progress against the programme remains on track. </w:t>
            </w:r>
          </w:p>
        </w:tc>
        <w:tc>
          <w:tcPr>
            <w:tcW w:w="1134" w:type="dxa"/>
            <w:vAlign w:val="center"/>
          </w:tcPr>
          <w:p w:rsidR="000A15B4" w:rsidRPr="003E1C27" w:rsidRDefault="0042757F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1134" w:type="dxa"/>
            <w:vAlign w:val="center"/>
          </w:tcPr>
          <w:p w:rsidR="000A15B4" w:rsidRPr="003E1C27" w:rsidRDefault="0042757F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15B4" w:rsidTr="004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vAlign w:val="center"/>
          </w:tcPr>
          <w:p w:rsidR="000A15B4" w:rsidRDefault="000A15B4" w:rsidP="001044BA">
            <w:pPr>
              <w:ind w:left="113" w:right="113"/>
              <w:jc w:val="center"/>
            </w:pPr>
            <w:r>
              <w:rPr>
                <w:color w:val="1F497D" w:themeColor="text2"/>
                <w:sz w:val="28"/>
              </w:rPr>
              <w:lastRenderedPageBreak/>
              <w:t>People</w:t>
            </w:r>
          </w:p>
        </w:tc>
        <w:tc>
          <w:tcPr>
            <w:tcW w:w="4110" w:type="dxa"/>
          </w:tcPr>
          <w:p w:rsidR="000A15B4" w:rsidRPr="00F10D25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10D25">
              <w:rPr>
                <w:rFonts w:cs="Arial"/>
                <w:sz w:val="20"/>
                <w:szCs w:val="20"/>
              </w:rPr>
              <w:t>De-motivational impact on workforce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A15B4" w:rsidRPr="00F10D25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10D25">
              <w:rPr>
                <w:rFonts w:cs="Arial"/>
                <w:sz w:val="20"/>
                <w:szCs w:val="20"/>
              </w:rPr>
              <w:t xml:space="preserve">If managed poorly, </w:t>
            </w:r>
            <w:r>
              <w:rPr>
                <w:rFonts w:cs="Arial"/>
                <w:sz w:val="20"/>
                <w:szCs w:val="20"/>
              </w:rPr>
              <w:t xml:space="preserve">the combination programme </w:t>
            </w:r>
            <w:r w:rsidRPr="00F10D25">
              <w:rPr>
                <w:rFonts w:cs="Arial"/>
                <w:sz w:val="20"/>
                <w:szCs w:val="20"/>
              </w:rPr>
              <w:t xml:space="preserve">could have an adverse effect on the motivation of the workforce due to concerns over their jobs and the loss of </w:t>
            </w:r>
            <w:r>
              <w:rPr>
                <w:rFonts w:cs="Arial"/>
                <w:sz w:val="20"/>
                <w:szCs w:val="20"/>
              </w:rPr>
              <w:t>their individual service.</w:t>
            </w:r>
            <w:r w:rsidRPr="00F10D25">
              <w:rPr>
                <w:rFonts w:cs="Arial"/>
                <w:sz w:val="20"/>
                <w:szCs w:val="20"/>
              </w:rPr>
              <w:t xml:space="preserve"> This could lead to a less productive workforce and </w:t>
            </w:r>
            <w:r w:rsidR="00315CF5">
              <w:rPr>
                <w:rFonts w:cs="Arial"/>
                <w:sz w:val="20"/>
                <w:szCs w:val="20"/>
              </w:rPr>
              <w:t xml:space="preserve">could </w:t>
            </w:r>
            <w:r w:rsidRPr="00F10D25">
              <w:rPr>
                <w:rFonts w:cs="Arial"/>
                <w:sz w:val="20"/>
                <w:szCs w:val="20"/>
              </w:rPr>
              <w:t>risk adversely affecting levels of service delivery</w:t>
            </w:r>
            <w:r w:rsidR="007F01C8">
              <w:rPr>
                <w:rFonts w:cs="Arial"/>
                <w:sz w:val="20"/>
                <w:szCs w:val="20"/>
              </w:rPr>
              <w:t xml:space="preserve"> during transition</w:t>
            </w:r>
            <w:r w:rsidR="000D3EC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A15B4" w:rsidRDefault="000A15B4" w:rsidP="00D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="000D3ECE">
              <w:rPr>
                <w:rFonts w:cs="Arial"/>
                <w:sz w:val="20"/>
                <w:szCs w:val="20"/>
              </w:rPr>
              <w:t>strategy</w:t>
            </w:r>
            <w:r>
              <w:rPr>
                <w:rFonts w:cs="Arial"/>
                <w:sz w:val="20"/>
                <w:szCs w:val="20"/>
              </w:rPr>
              <w:t xml:space="preserve"> to be in </w:t>
            </w:r>
            <w:r w:rsidR="007935B6">
              <w:rPr>
                <w:rFonts w:cs="Arial"/>
                <w:sz w:val="20"/>
                <w:szCs w:val="20"/>
              </w:rPr>
              <w:t xml:space="preserve">developed to </w:t>
            </w:r>
            <w:r>
              <w:rPr>
                <w:rFonts w:cs="Arial"/>
                <w:sz w:val="20"/>
                <w:szCs w:val="20"/>
              </w:rPr>
              <w:t xml:space="preserve">ensure that employees are provided with </w:t>
            </w:r>
            <w:r w:rsidR="000D3ECE">
              <w:rPr>
                <w:rFonts w:cs="Arial"/>
                <w:sz w:val="20"/>
                <w:szCs w:val="20"/>
              </w:rPr>
              <w:t xml:space="preserve">timely, </w:t>
            </w:r>
            <w:r>
              <w:rPr>
                <w:rFonts w:cs="Arial"/>
                <w:sz w:val="20"/>
                <w:szCs w:val="20"/>
              </w:rPr>
              <w:t>accurate</w:t>
            </w:r>
            <w:r w:rsidR="000D3ECE">
              <w:rPr>
                <w:rFonts w:cs="Arial"/>
                <w:sz w:val="20"/>
                <w:szCs w:val="20"/>
              </w:rPr>
              <w:t xml:space="preserve"> and</w:t>
            </w:r>
            <w:r>
              <w:rPr>
                <w:rFonts w:cs="Arial"/>
                <w:sz w:val="20"/>
                <w:szCs w:val="20"/>
              </w:rPr>
              <w:t xml:space="preserve"> up to date information.</w:t>
            </w:r>
          </w:p>
          <w:p w:rsidR="007935B6" w:rsidRDefault="000A15B4" w:rsidP="00D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Communications officer and HR specialist to form part of the central programme team</w:t>
            </w:r>
            <w:r w:rsidR="007F01C8">
              <w:rPr>
                <w:rFonts w:cs="Arial"/>
                <w:sz w:val="20"/>
                <w:szCs w:val="20"/>
              </w:rPr>
              <w:t xml:space="preserve"> to ensure effective workforce planning arrangements are in place that meet legal requirements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A15B4" w:rsidRDefault="000A15B4" w:rsidP="007F0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representative group</w:t>
            </w:r>
            <w:r w:rsidR="007F01C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to be </w:t>
            </w:r>
            <w:r w:rsidR="007F01C8">
              <w:rPr>
                <w:rFonts w:cs="Arial"/>
                <w:sz w:val="20"/>
                <w:szCs w:val="20"/>
              </w:rPr>
              <w:t xml:space="preserve">consulted as appropriate by </w:t>
            </w:r>
            <w:r w:rsidR="00315CF5">
              <w:rPr>
                <w:rFonts w:cs="Arial"/>
                <w:sz w:val="20"/>
                <w:szCs w:val="20"/>
              </w:rPr>
              <w:t>the programme</w:t>
            </w:r>
            <w:r>
              <w:rPr>
                <w:rFonts w:cs="Arial"/>
                <w:sz w:val="20"/>
                <w:szCs w:val="20"/>
              </w:rPr>
              <w:t xml:space="preserve"> team</w:t>
            </w:r>
            <w:r w:rsidR="007F01C8">
              <w:rPr>
                <w:rFonts w:cs="Arial"/>
                <w:sz w:val="20"/>
                <w:szCs w:val="20"/>
              </w:rPr>
              <w:t xml:space="preserve"> during the transition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D39CA" w:rsidRDefault="00BD39CA" w:rsidP="007F0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D39CA" w:rsidRPr="007F1CC3" w:rsidRDefault="00BD39CA" w:rsidP="007F0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B4" w:rsidRPr="00BF638C" w:rsidRDefault="0042757F" w:rsidP="0042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0A15B4" w:rsidRPr="00BF638C" w:rsidRDefault="0042757F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5B4" w:rsidTr="00C01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0A15B4" w:rsidRDefault="000A15B4" w:rsidP="001044BA"/>
        </w:tc>
        <w:tc>
          <w:tcPr>
            <w:tcW w:w="4110" w:type="dxa"/>
          </w:tcPr>
          <w:p w:rsidR="000A15B4" w:rsidRPr="002B1ECC" w:rsidRDefault="000A15B4" w:rsidP="00BD39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Insufficient</w:t>
            </w:r>
            <w:r w:rsidRPr="002B1EC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resource</w:t>
            </w:r>
            <w:r w:rsidR="00BD39CA">
              <w:rPr>
                <w:rFonts w:cs="Arial"/>
                <w:sz w:val="20"/>
                <w:szCs w:val="20"/>
              </w:rPr>
              <w:t>s allocated to the combination programme</w:t>
            </w:r>
            <w:r w:rsidR="00F70ED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0A15B4" w:rsidRPr="002B1ECC" w:rsidRDefault="00BD39CA" w:rsidP="00BD39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Failure to ensure </w:t>
            </w:r>
            <w:r w:rsidR="000A15B4">
              <w:rPr>
                <w:rFonts w:cs="Arial"/>
                <w:sz w:val="20"/>
                <w:szCs w:val="20"/>
              </w:rPr>
              <w:t>sufficient resources</w:t>
            </w:r>
            <w:r w:rsidR="000A15B4" w:rsidRPr="002B1EC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are allocated to the combination programme </w:t>
            </w:r>
            <w:r w:rsidR="000A15B4">
              <w:rPr>
                <w:rFonts w:cs="Arial"/>
                <w:sz w:val="20"/>
                <w:szCs w:val="20"/>
              </w:rPr>
              <w:t>will affect the delivery of</w:t>
            </w:r>
            <w:r w:rsidR="000A15B4" w:rsidRPr="002B1ECC">
              <w:rPr>
                <w:rFonts w:cs="Arial"/>
                <w:sz w:val="20"/>
                <w:szCs w:val="20"/>
              </w:rPr>
              <w:t xml:space="preserve"> key </w:t>
            </w:r>
            <w:r w:rsidRPr="002B1ECC">
              <w:rPr>
                <w:rFonts w:cs="Arial"/>
                <w:sz w:val="20"/>
                <w:szCs w:val="20"/>
              </w:rPr>
              <w:t>work</w:t>
            </w:r>
            <w:r>
              <w:rPr>
                <w:rFonts w:cs="Arial"/>
                <w:sz w:val="20"/>
                <w:szCs w:val="20"/>
              </w:rPr>
              <w:t xml:space="preserve">streams, which will need to be completed </w:t>
            </w:r>
            <w:r w:rsidR="000A15B4" w:rsidRPr="002B1ECC">
              <w:rPr>
                <w:rFonts w:cs="Arial"/>
                <w:sz w:val="20"/>
                <w:szCs w:val="20"/>
              </w:rPr>
              <w:t xml:space="preserve">within </w:t>
            </w:r>
            <w:r>
              <w:rPr>
                <w:rFonts w:cs="Arial"/>
                <w:sz w:val="20"/>
                <w:szCs w:val="20"/>
              </w:rPr>
              <w:t xml:space="preserve">defined </w:t>
            </w:r>
            <w:r w:rsidR="000A15B4" w:rsidRPr="002B1ECC">
              <w:rPr>
                <w:rFonts w:cs="Arial"/>
                <w:sz w:val="20"/>
                <w:szCs w:val="20"/>
              </w:rPr>
              <w:t>timescales</w:t>
            </w:r>
            <w:r>
              <w:rPr>
                <w:rFonts w:cs="Arial"/>
                <w:sz w:val="20"/>
                <w:szCs w:val="20"/>
              </w:rPr>
              <w:t>. This is in order to bridge the predicted financial shortfall of the new Combined Fire Authority and to ensure legal and statutory compliance</w:t>
            </w:r>
            <w:r w:rsidR="00F70ED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A15B4" w:rsidRDefault="000A15B4" w:rsidP="009E0A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 appropriate programme structure of resources has been </w:t>
            </w:r>
            <w:r w:rsidR="00BD39CA">
              <w:rPr>
                <w:rFonts w:cs="Arial"/>
                <w:sz w:val="20"/>
                <w:szCs w:val="20"/>
              </w:rPr>
              <w:t xml:space="preserve">developed </w:t>
            </w:r>
            <w:r>
              <w:rPr>
                <w:rFonts w:cs="Arial"/>
                <w:sz w:val="20"/>
                <w:szCs w:val="20"/>
              </w:rPr>
              <w:t xml:space="preserve">to support the delivery of </w:t>
            </w:r>
            <w:r w:rsidR="00BD39CA">
              <w:rPr>
                <w:rFonts w:cs="Arial"/>
                <w:sz w:val="20"/>
                <w:szCs w:val="20"/>
              </w:rPr>
              <w:t xml:space="preserve">crucial elements of </w:t>
            </w:r>
            <w:r>
              <w:rPr>
                <w:rFonts w:cs="Arial"/>
                <w:sz w:val="20"/>
                <w:szCs w:val="20"/>
              </w:rPr>
              <w:t>the combination</w:t>
            </w:r>
            <w:r w:rsidR="00BD39CA">
              <w:rPr>
                <w:rFonts w:cs="Arial"/>
                <w:sz w:val="20"/>
                <w:szCs w:val="20"/>
              </w:rPr>
              <w:t xml:space="preserve"> programme within defined timescales that meet the financial </w:t>
            </w:r>
            <w:r w:rsidR="00F70EDA">
              <w:rPr>
                <w:rFonts w:cs="Arial"/>
                <w:sz w:val="20"/>
                <w:szCs w:val="20"/>
              </w:rPr>
              <w:t>requirements</w:t>
            </w:r>
            <w:r w:rsidR="00BD39CA">
              <w:rPr>
                <w:rFonts w:cs="Arial"/>
                <w:sz w:val="20"/>
                <w:szCs w:val="20"/>
              </w:rPr>
              <w:t xml:space="preserve"> of the new Combined Fire Authority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A15B4" w:rsidRPr="007F1CC3" w:rsidRDefault="000A15B4" w:rsidP="00C01B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Key </w:t>
            </w:r>
            <w:r w:rsidR="00781E92">
              <w:rPr>
                <w:rFonts w:cs="Arial"/>
                <w:sz w:val="20"/>
                <w:szCs w:val="20"/>
              </w:rPr>
              <w:t xml:space="preserve">roles have been identified and </w:t>
            </w:r>
            <w:r>
              <w:rPr>
                <w:rFonts w:cs="Arial"/>
                <w:sz w:val="20"/>
                <w:szCs w:val="20"/>
              </w:rPr>
              <w:t xml:space="preserve">are included within the </w:t>
            </w:r>
            <w:r w:rsidR="00BD39CA">
              <w:rPr>
                <w:rFonts w:cs="Arial"/>
                <w:sz w:val="20"/>
                <w:szCs w:val="20"/>
              </w:rPr>
              <w:t xml:space="preserve">transformational funding bid submitted to </w:t>
            </w:r>
            <w:r>
              <w:rPr>
                <w:rFonts w:cs="Arial"/>
                <w:sz w:val="20"/>
                <w:szCs w:val="20"/>
              </w:rPr>
              <w:t>DCLG</w:t>
            </w:r>
            <w:r w:rsidR="00BD39CA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BD39CA">
              <w:rPr>
                <w:rFonts w:cs="Arial"/>
                <w:sz w:val="20"/>
                <w:szCs w:val="20"/>
              </w:rPr>
              <w:t xml:space="preserve">These </w:t>
            </w:r>
            <w:r>
              <w:rPr>
                <w:rFonts w:cs="Arial"/>
                <w:sz w:val="20"/>
                <w:szCs w:val="20"/>
              </w:rPr>
              <w:t>roles include</w:t>
            </w:r>
            <w:r w:rsidR="00BD39CA">
              <w:rPr>
                <w:rFonts w:cs="Arial"/>
                <w:sz w:val="20"/>
                <w:szCs w:val="20"/>
              </w:rPr>
              <w:t xml:space="preserve"> a</w:t>
            </w:r>
            <w:r>
              <w:rPr>
                <w:rFonts w:cs="Arial"/>
                <w:sz w:val="20"/>
                <w:szCs w:val="20"/>
              </w:rPr>
              <w:t xml:space="preserve"> Programme Manager, Change Managers, HR and ICT specialists and a Communications Officer. </w:t>
            </w:r>
            <w:r w:rsidR="00BD39CA">
              <w:rPr>
                <w:rFonts w:cs="Arial"/>
                <w:sz w:val="20"/>
                <w:szCs w:val="20"/>
              </w:rPr>
              <w:t xml:space="preserve">In </w:t>
            </w:r>
            <w:r w:rsidR="00BD39CA">
              <w:rPr>
                <w:rFonts w:cs="Arial"/>
                <w:sz w:val="20"/>
                <w:szCs w:val="20"/>
              </w:rPr>
              <w:lastRenderedPageBreak/>
              <w:t>addition the transformational funding bid aims to support the delivery of key ICT infrastructure alignment.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A15B4" w:rsidRPr="00BF638C" w:rsidRDefault="000A15B4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1134" w:type="dxa"/>
            <w:vAlign w:val="center"/>
          </w:tcPr>
          <w:p w:rsidR="000A15B4" w:rsidRPr="00BF638C" w:rsidRDefault="000A15B4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15B4" w:rsidTr="006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0A15B4" w:rsidRDefault="000A15B4" w:rsidP="001044BA"/>
        </w:tc>
        <w:tc>
          <w:tcPr>
            <w:tcW w:w="4110" w:type="dxa"/>
          </w:tcPr>
          <w:p w:rsidR="000A15B4" w:rsidRDefault="000A15B4" w:rsidP="00E82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5FCE">
              <w:rPr>
                <w:rFonts w:cs="Arial"/>
                <w:sz w:val="20"/>
                <w:szCs w:val="20"/>
              </w:rPr>
              <w:t>Loss of key personnel</w:t>
            </w:r>
            <w:r w:rsidR="00ED2116">
              <w:rPr>
                <w:rFonts w:cs="Arial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4111" w:type="dxa"/>
          </w:tcPr>
          <w:p w:rsidR="000A15B4" w:rsidRPr="007F1CC3" w:rsidRDefault="000A15B4" w:rsidP="00623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45FCE">
              <w:rPr>
                <w:rFonts w:cs="Arial"/>
                <w:sz w:val="20"/>
                <w:szCs w:val="20"/>
              </w:rPr>
              <w:t>Lack of clarity about future jo</w:t>
            </w:r>
            <w:r>
              <w:rPr>
                <w:rFonts w:cs="Arial"/>
                <w:sz w:val="20"/>
                <w:szCs w:val="20"/>
              </w:rPr>
              <w:t xml:space="preserve">bs/responsibilities and timing </w:t>
            </w:r>
            <w:r w:rsidRPr="00745FCE">
              <w:rPr>
                <w:rFonts w:cs="Arial"/>
                <w:sz w:val="20"/>
                <w:szCs w:val="20"/>
              </w:rPr>
              <w:t>could resul</w:t>
            </w:r>
            <w:r>
              <w:rPr>
                <w:rFonts w:cs="Arial"/>
                <w:sz w:val="20"/>
                <w:szCs w:val="20"/>
              </w:rPr>
              <w:t xml:space="preserve">ts in </w:t>
            </w:r>
            <w:r w:rsidR="00BD39CA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loss of experienced staff, which could have a detrimental </w:t>
            </w:r>
            <w:r w:rsidR="00BD39CA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ffect to the delivery of the </w:t>
            </w:r>
            <w:r w:rsidR="00BD39CA">
              <w:rPr>
                <w:rFonts w:cs="Arial"/>
                <w:sz w:val="20"/>
                <w:szCs w:val="20"/>
              </w:rPr>
              <w:t xml:space="preserve">combination </w:t>
            </w:r>
            <w:r>
              <w:rPr>
                <w:rFonts w:cs="Arial"/>
                <w:sz w:val="20"/>
                <w:szCs w:val="20"/>
              </w:rPr>
              <w:t>programme.</w:t>
            </w:r>
          </w:p>
        </w:tc>
        <w:tc>
          <w:tcPr>
            <w:tcW w:w="3119" w:type="dxa"/>
          </w:tcPr>
          <w:p w:rsidR="000A15B4" w:rsidRDefault="00ED2116" w:rsidP="00D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Communication strategy to be </w:t>
            </w:r>
            <w:r w:rsidR="00BD39CA" w:rsidRPr="00BD39CA">
              <w:rPr>
                <w:rFonts w:cs="Arial"/>
                <w:sz w:val="20"/>
                <w:szCs w:val="20"/>
              </w:rPr>
              <w:t>developed to ensure that employees are provided with timely, accurate and up to date information</w:t>
            </w:r>
            <w:r w:rsidR="000A15B4">
              <w:rPr>
                <w:rFonts w:cs="Arial"/>
                <w:sz w:val="20"/>
                <w:szCs w:val="20"/>
              </w:rPr>
              <w:t>.</w:t>
            </w:r>
          </w:p>
          <w:p w:rsidR="000A15B4" w:rsidRDefault="000A15B4" w:rsidP="00D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Flexible and peripatetic working arrangements could be considered</w:t>
            </w:r>
            <w:r w:rsidR="00BD39CA">
              <w:rPr>
                <w:rFonts w:cs="Arial"/>
                <w:sz w:val="20"/>
                <w:szCs w:val="20"/>
              </w:rPr>
              <w:t xml:space="preserve"> for some roles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A15B4" w:rsidRDefault="000A15B4" w:rsidP="00D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HR specialist role to form part of the central programme team.</w:t>
            </w:r>
          </w:p>
          <w:p w:rsidR="000A15B4" w:rsidRPr="007F1CC3" w:rsidRDefault="000A15B4" w:rsidP="0072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B299B">
              <w:rPr>
                <w:rFonts w:cs="Arial"/>
                <w:sz w:val="20"/>
                <w:szCs w:val="20"/>
              </w:rPr>
              <w:t xml:space="preserve">Staff representative group to be </w:t>
            </w:r>
            <w:r w:rsidR="00725408">
              <w:rPr>
                <w:rFonts w:cs="Arial"/>
                <w:sz w:val="20"/>
                <w:szCs w:val="20"/>
              </w:rPr>
              <w:t xml:space="preserve">consulted as appropriate by </w:t>
            </w:r>
            <w:r w:rsidRPr="00CB299B">
              <w:rPr>
                <w:rFonts w:cs="Arial"/>
                <w:sz w:val="20"/>
                <w:szCs w:val="20"/>
              </w:rPr>
              <w:t>the programme team</w:t>
            </w:r>
            <w:r w:rsidR="00725408">
              <w:rPr>
                <w:rFonts w:cs="Arial"/>
                <w:sz w:val="20"/>
                <w:szCs w:val="20"/>
              </w:rPr>
              <w:t xml:space="preserve"> during transition</w:t>
            </w:r>
            <w:r w:rsidRPr="00CB299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A15B4" w:rsidRPr="001E27C7" w:rsidRDefault="000A15B4" w:rsidP="0067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0A15B4" w:rsidRPr="001E27C7" w:rsidRDefault="000A15B4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5B4" w:rsidTr="0042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vAlign w:val="center"/>
          </w:tcPr>
          <w:p w:rsidR="000A15B4" w:rsidRDefault="000A15B4" w:rsidP="001044BA">
            <w:pPr>
              <w:ind w:left="113" w:right="113"/>
              <w:jc w:val="center"/>
            </w:pPr>
            <w:r w:rsidRPr="004B2208">
              <w:rPr>
                <w:color w:val="1F497D" w:themeColor="text2"/>
                <w:sz w:val="28"/>
              </w:rPr>
              <w:t>Financial</w:t>
            </w:r>
          </w:p>
        </w:tc>
        <w:tc>
          <w:tcPr>
            <w:tcW w:w="4110" w:type="dxa"/>
          </w:tcPr>
          <w:p w:rsidR="000A15B4" w:rsidRPr="008A31AE" w:rsidRDefault="000A15B4" w:rsidP="00D84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0208B">
              <w:rPr>
                <w:rFonts w:cs="Arial"/>
                <w:sz w:val="20"/>
                <w:szCs w:val="20"/>
              </w:rPr>
              <w:t xml:space="preserve">Lack of financial flexibility to meet </w:t>
            </w:r>
            <w:r>
              <w:rPr>
                <w:rFonts w:cs="Arial"/>
                <w:sz w:val="20"/>
                <w:szCs w:val="20"/>
              </w:rPr>
              <w:t xml:space="preserve">extra </w:t>
            </w:r>
            <w:r w:rsidRPr="00F0208B">
              <w:rPr>
                <w:rFonts w:cs="Arial"/>
                <w:sz w:val="20"/>
                <w:szCs w:val="20"/>
              </w:rPr>
              <w:t>unforeseen demand</w:t>
            </w:r>
            <w:r w:rsidR="00ED211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A15B4" w:rsidRPr="007F1CC3" w:rsidRDefault="000A15B4" w:rsidP="00F43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0208B">
              <w:rPr>
                <w:rFonts w:cs="Arial"/>
                <w:sz w:val="20"/>
                <w:szCs w:val="20"/>
              </w:rPr>
              <w:t>Inability to deal with fluctuations in demand or unforeseen events that have a significant financial impact</w:t>
            </w:r>
            <w:r w:rsidR="00F43905">
              <w:rPr>
                <w:rFonts w:cs="Arial"/>
                <w:sz w:val="20"/>
                <w:szCs w:val="20"/>
              </w:rPr>
              <w:t xml:space="preserve"> will </w:t>
            </w:r>
            <w:r w:rsidR="00A30537">
              <w:rPr>
                <w:rFonts w:cs="Arial"/>
                <w:sz w:val="20"/>
                <w:szCs w:val="20"/>
              </w:rPr>
              <w:t xml:space="preserve">potentially </w:t>
            </w:r>
            <w:r w:rsidR="00F43905">
              <w:rPr>
                <w:rFonts w:cs="Arial"/>
                <w:sz w:val="20"/>
                <w:szCs w:val="20"/>
              </w:rPr>
              <w:t xml:space="preserve">have </w:t>
            </w:r>
            <w:r w:rsidR="00A30537">
              <w:rPr>
                <w:rFonts w:cs="Arial"/>
                <w:sz w:val="20"/>
                <w:szCs w:val="20"/>
              </w:rPr>
              <w:t xml:space="preserve">a </w:t>
            </w:r>
            <w:r w:rsidR="00F43905">
              <w:rPr>
                <w:rFonts w:cs="Arial"/>
                <w:sz w:val="20"/>
                <w:szCs w:val="20"/>
              </w:rPr>
              <w:t xml:space="preserve">negative effect </w:t>
            </w:r>
            <w:r w:rsidR="00A30537">
              <w:rPr>
                <w:rFonts w:cs="Arial"/>
                <w:sz w:val="20"/>
                <w:szCs w:val="20"/>
              </w:rPr>
              <w:t>on</w:t>
            </w:r>
            <w:r w:rsidR="00F43905">
              <w:rPr>
                <w:rFonts w:cs="Arial"/>
                <w:sz w:val="20"/>
                <w:szCs w:val="20"/>
              </w:rPr>
              <w:t xml:space="preserve"> the </w:t>
            </w:r>
            <w:r w:rsidR="00A30537">
              <w:rPr>
                <w:rFonts w:cs="Arial"/>
                <w:sz w:val="20"/>
                <w:szCs w:val="20"/>
              </w:rPr>
              <w:t>combination programme</w:t>
            </w:r>
            <w:r w:rsidR="00F4390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A15B4" w:rsidRDefault="000A15B4" w:rsidP="00D84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Optimum bias has been built into the </w:t>
            </w:r>
            <w:r w:rsidR="00F43905">
              <w:rPr>
                <w:rFonts w:cs="Arial"/>
                <w:sz w:val="20"/>
                <w:szCs w:val="20"/>
              </w:rPr>
              <w:t>predicted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30537">
              <w:rPr>
                <w:rFonts w:cs="Arial"/>
                <w:sz w:val="20"/>
                <w:szCs w:val="20"/>
              </w:rPr>
              <w:t xml:space="preserve">transition </w:t>
            </w:r>
            <w:r>
              <w:rPr>
                <w:rFonts w:cs="Arial"/>
                <w:sz w:val="20"/>
                <w:szCs w:val="20"/>
              </w:rPr>
              <w:t>costs.</w:t>
            </w:r>
          </w:p>
          <w:p w:rsidR="000A15B4" w:rsidRPr="007F1CC3" w:rsidRDefault="000A15B4" w:rsidP="00D84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sensitivity analysis has been complete</w:t>
            </w:r>
            <w:r w:rsidR="00A30537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 for contingenc</w:t>
            </w:r>
            <w:r w:rsidR="00A30537">
              <w:rPr>
                <w:rFonts w:cs="Arial"/>
                <w:sz w:val="20"/>
                <w:szCs w:val="20"/>
              </w:rPr>
              <w:t>y arrangements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0A15B4" w:rsidRPr="009146C8" w:rsidRDefault="0042757F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0A15B4" w:rsidRPr="009146C8" w:rsidRDefault="0042757F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0A15B4" w:rsidRDefault="000A15B4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15B4" w:rsidTr="0067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extDirection w:val="btLr"/>
            <w:vAlign w:val="center"/>
          </w:tcPr>
          <w:p w:rsidR="000A15B4" w:rsidRPr="004B2208" w:rsidRDefault="000A15B4" w:rsidP="001044BA">
            <w:pPr>
              <w:ind w:left="113" w:right="113"/>
              <w:jc w:val="center"/>
              <w:rPr>
                <w:color w:val="1F497D" w:themeColor="text2"/>
                <w:sz w:val="28"/>
              </w:rPr>
            </w:pPr>
          </w:p>
        </w:tc>
        <w:tc>
          <w:tcPr>
            <w:tcW w:w="4110" w:type="dxa"/>
          </w:tcPr>
          <w:p w:rsidR="000A15B4" w:rsidRPr="009F2754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F2754">
              <w:rPr>
                <w:rFonts w:cs="Arial"/>
                <w:sz w:val="20"/>
                <w:szCs w:val="20"/>
              </w:rPr>
              <w:t>Early efficiency savings are not realised due to insufficient planning</w:t>
            </w:r>
            <w:r w:rsidR="00615DFA">
              <w:rPr>
                <w:rFonts w:cs="Arial"/>
                <w:sz w:val="20"/>
                <w:szCs w:val="20"/>
              </w:rPr>
              <w:t>.</w:t>
            </w:r>
          </w:p>
          <w:p w:rsidR="000A15B4" w:rsidRDefault="000A15B4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:rsidR="000A15B4" w:rsidRPr="007F1CC3" w:rsidRDefault="000A15B4" w:rsidP="00A30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</w:t>
            </w:r>
            <w:r w:rsidRPr="005760D6">
              <w:rPr>
                <w:rFonts w:cs="Arial"/>
                <w:sz w:val="20"/>
                <w:szCs w:val="20"/>
              </w:rPr>
              <w:t xml:space="preserve">ombination will not make the full savings required </w:t>
            </w:r>
            <w:r w:rsidR="00A30537">
              <w:rPr>
                <w:rFonts w:cs="Arial"/>
                <w:sz w:val="20"/>
                <w:szCs w:val="20"/>
              </w:rPr>
              <w:t xml:space="preserve">by the financial profile of the new Combined Fire Authority </w:t>
            </w:r>
            <w:r>
              <w:rPr>
                <w:rFonts w:cs="Arial"/>
                <w:sz w:val="20"/>
                <w:szCs w:val="20"/>
              </w:rPr>
              <w:t xml:space="preserve">requiring </w:t>
            </w:r>
            <w:r w:rsidR="00A30537">
              <w:rPr>
                <w:rFonts w:cs="Arial"/>
                <w:sz w:val="20"/>
                <w:szCs w:val="20"/>
              </w:rPr>
              <w:t xml:space="preserve">the realisation of </w:t>
            </w:r>
            <w:r>
              <w:rPr>
                <w:rFonts w:cs="Arial"/>
                <w:sz w:val="20"/>
                <w:szCs w:val="20"/>
              </w:rPr>
              <w:t xml:space="preserve">additional </w:t>
            </w:r>
            <w:r w:rsidR="00ED2116">
              <w:rPr>
                <w:rFonts w:cs="Arial"/>
                <w:sz w:val="20"/>
                <w:szCs w:val="20"/>
              </w:rPr>
              <w:t>efficiencies to</w:t>
            </w:r>
            <w:r>
              <w:rPr>
                <w:rFonts w:cs="Arial"/>
                <w:sz w:val="20"/>
                <w:szCs w:val="20"/>
              </w:rPr>
              <w:t xml:space="preserve"> bridge </w:t>
            </w:r>
            <w:r w:rsidR="00A30537">
              <w:rPr>
                <w:rFonts w:cs="Arial"/>
                <w:sz w:val="20"/>
                <w:szCs w:val="20"/>
              </w:rPr>
              <w:t xml:space="preserve">the projected </w:t>
            </w:r>
            <w:r>
              <w:rPr>
                <w:rFonts w:cs="Arial"/>
                <w:sz w:val="20"/>
                <w:szCs w:val="20"/>
              </w:rPr>
              <w:t xml:space="preserve">financial gap. </w:t>
            </w:r>
          </w:p>
        </w:tc>
        <w:tc>
          <w:tcPr>
            <w:tcW w:w="3119" w:type="dxa"/>
          </w:tcPr>
          <w:p w:rsidR="000A15B4" w:rsidRPr="00A5586F" w:rsidRDefault="000A15B4" w:rsidP="00A30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Optimum bias has be</w:t>
            </w:r>
            <w:r w:rsidR="00F43905">
              <w:rPr>
                <w:rFonts w:cs="Arial"/>
                <w:color w:val="000000" w:themeColor="text1"/>
                <w:sz w:val="20"/>
                <w:szCs w:val="20"/>
              </w:rPr>
              <w:t>en built into forecasted savings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30537">
              <w:rPr>
                <w:rFonts w:cs="Arial"/>
                <w:color w:val="000000" w:themeColor="text1"/>
                <w:sz w:val="20"/>
                <w:szCs w:val="20"/>
              </w:rPr>
              <w:t xml:space="preserve">that have been identified in the business case. In addition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 sensitive analysis </w:t>
            </w:r>
            <w:r w:rsidR="00A30537">
              <w:rPr>
                <w:rFonts w:cs="Arial"/>
                <w:color w:val="000000" w:themeColor="text1"/>
                <w:sz w:val="20"/>
                <w:szCs w:val="20"/>
              </w:rPr>
              <w:t xml:space="preserve">has been undertaken to ensure there is sufficient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contingency planning </w:t>
            </w:r>
            <w:r w:rsidR="00A30537">
              <w:rPr>
                <w:rFonts w:cs="Arial"/>
                <w:color w:val="000000" w:themeColor="text1"/>
                <w:sz w:val="20"/>
                <w:szCs w:val="20"/>
              </w:rPr>
              <w:t xml:space="preserve">within the combination programme. </w:t>
            </w:r>
          </w:p>
        </w:tc>
        <w:tc>
          <w:tcPr>
            <w:tcW w:w="1134" w:type="dxa"/>
            <w:vAlign w:val="center"/>
          </w:tcPr>
          <w:p w:rsidR="000A15B4" w:rsidRPr="009146C8" w:rsidRDefault="00D17693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Low</w:t>
            </w:r>
          </w:p>
        </w:tc>
        <w:tc>
          <w:tcPr>
            <w:tcW w:w="1134" w:type="dxa"/>
            <w:vAlign w:val="center"/>
          </w:tcPr>
          <w:p w:rsidR="000A15B4" w:rsidRPr="009146C8" w:rsidRDefault="00D17693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92D050"/>
          </w:tcPr>
          <w:p w:rsidR="000A15B4" w:rsidRDefault="000A15B4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8EE" w:rsidTr="00D17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2556FF" w:rsidRDefault="0016697E" w:rsidP="001044BA">
            <w:pPr>
              <w:ind w:left="113" w:right="113"/>
              <w:jc w:val="center"/>
            </w:pPr>
            <w:r>
              <w:rPr>
                <w:color w:val="1F497D" w:themeColor="text2"/>
                <w:sz w:val="28"/>
              </w:rPr>
              <w:t xml:space="preserve">Transitional </w:t>
            </w:r>
          </w:p>
        </w:tc>
        <w:tc>
          <w:tcPr>
            <w:tcW w:w="4110" w:type="dxa"/>
          </w:tcPr>
          <w:p w:rsidR="002556FF" w:rsidRDefault="002556FF" w:rsidP="00CF7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6F11">
              <w:rPr>
                <w:rFonts w:cs="Arial"/>
                <w:sz w:val="20"/>
                <w:szCs w:val="20"/>
              </w:rPr>
              <w:t>Delays to the combination programme</w:t>
            </w:r>
            <w:r w:rsidR="00615DF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556FF" w:rsidRDefault="00D44F26" w:rsidP="00CF7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is a risk that the new Combined Fire Authority will </w:t>
            </w:r>
            <w:r w:rsidR="002556FF" w:rsidRPr="00CC6F11">
              <w:rPr>
                <w:rFonts w:cs="Arial"/>
                <w:sz w:val="20"/>
                <w:szCs w:val="20"/>
              </w:rPr>
              <w:t>fail</w:t>
            </w:r>
            <w:r w:rsidR="00E83790">
              <w:rPr>
                <w:rFonts w:cs="Arial"/>
                <w:sz w:val="20"/>
                <w:szCs w:val="20"/>
              </w:rPr>
              <w:t xml:space="preserve"> to </w:t>
            </w:r>
            <w:r>
              <w:rPr>
                <w:rFonts w:cs="Arial"/>
                <w:sz w:val="20"/>
                <w:szCs w:val="20"/>
              </w:rPr>
              <w:t>realise the financial savings that must be achieved to set a balanced budget</w:t>
            </w:r>
            <w:r w:rsidR="00E83790">
              <w:rPr>
                <w:rFonts w:cs="Arial"/>
                <w:sz w:val="20"/>
                <w:szCs w:val="20"/>
              </w:rPr>
              <w:t>.  This could</w:t>
            </w:r>
            <w:r w:rsidR="00D545B1">
              <w:rPr>
                <w:rFonts w:cs="Arial"/>
                <w:sz w:val="20"/>
                <w:szCs w:val="20"/>
              </w:rPr>
              <w:t xml:space="preserve"> potentially increase</w:t>
            </w:r>
            <w:r w:rsidR="00E83790">
              <w:rPr>
                <w:rFonts w:cs="Arial"/>
                <w:sz w:val="20"/>
                <w:szCs w:val="20"/>
              </w:rPr>
              <w:t xml:space="preserve"> transition costs and prolong</w:t>
            </w:r>
            <w:r w:rsidR="002556FF" w:rsidRPr="00CC6F11">
              <w:rPr>
                <w:rFonts w:cs="Arial"/>
                <w:sz w:val="20"/>
                <w:szCs w:val="20"/>
              </w:rPr>
              <w:t xml:space="preserve"> leve</w:t>
            </w:r>
            <w:r w:rsidR="002556FF">
              <w:rPr>
                <w:rFonts w:cs="Arial"/>
                <w:sz w:val="20"/>
                <w:szCs w:val="20"/>
              </w:rPr>
              <w:t xml:space="preserve">ls of uncertainty among staff which </w:t>
            </w:r>
            <w:r>
              <w:rPr>
                <w:rFonts w:cs="Arial"/>
                <w:sz w:val="20"/>
                <w:szCs w:val="20"/>
              </w:rPr>
              <w:t>may</w:t>
            </w:r>
            <w:r w:rsidR="002556FF">
              <w:rPr>
                <w:rFonts w:cs="Arial"/>
                <w:sz w:val="20"/>
                <w:szCs w:val="20"/>
              </w:rPr>
              <w:t xml:space="preserve"> result</w:t>
            </w:r>
            <w:r w:rsidR="002556FF" w:rsidRPr="00CC6F11">
              <w:rPr>
                <w:rFonts w:cs="Arial"/>
                <w:sz w:val="20"/>
                <w:szCs w:val="20"/>
              </w:rPr>
              <w:t xml:space="preserve"> in delays to implementation and benefits realisation</w:t>
            </w:r>
            <w:r w:rsidR="002556FF">
              <w:rPr>
                <w:rFonts w:cs="Arial"/>
                <w:sz w:val="20"/>
                <w:szCs w:val="20"/>
              </w:rPr>
              <w:t>.</w:t>
            </w:r>
          </w:p>
          <w:p w:rsidR="002556FF" w:rsidRPr="007F1CC3" w:rsidRDefault="002556FF" w:rsidP="00D54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56FF" w:rsidRDefault="002556FF" w:rsidP="00CF7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47C61">
              <w:rPr>
                <w:rFonts w:cs="Arial"/>
                <w:sz w:val="20"/>
                <w:szCs w:val="20"/>
              </w:rPr>
              <w:t xml:space="preserve">Shadow arrangements </w:t>
            </w:r>
            <w:r>
              <w:rPr>
                <w:rFonts w:cs="Arial"/>
                <w:sz w:val="20"/>
                <w:szCs w:val="20"/>
              </w:rPr>
              <w:t>will be</w:t>
            </w:r>
            <w:r w:rsidRPr="00E47C61">
              <w:rPr>
                <w:rFonts w:cs="Arial"/>
                <w:sz w:val="20"/>
                <w:szCs w:val="20"/>
              </w:rPr>
              <w:t xml:space="preserve"> </w:t>
            </w:r>
            <w:r w:rsidR="00D44F26">
              <w:rPr>
                <w:rFonts w:cs="Arial"/>
                <w:sz w:val="20"/>
                <w:szCs w:val="20"/>
              </w:rPr>
              <w:t xml:space="preserve">in </w:t>
            </w:r>
            <w:r w:rsidRPr="00E47C61">
              <w:rPr>
                <w:rFonts w:cs="Arial"/>
                <w:sz w:val="20"/>
                <w:szCs w:val="20"/>
              </w:rPr>
              <w:t>place to monitor</w:t>
            </w:r>
            <w:r>
              <w:rPr>
                <w:rFonts w:cs="Arial"/>
                <w:sz w:val="20"/>
                <w:szCs w:val="20"/>
              </w:rPr>
              <w:t xml:space="preserve"> and scrutinise</w:t>
            </w:r>
            <w:r w:rsidRPr="00E47C61">
              <w:rPr>
                <w:rFonts w:cs="Arial"/>
                <w:sz w:val="20"/>
                <w:szCs w:val="20"/>
              </w:rPr>
              <w:t xml:space="preserve"> progress </w:t>
            </w:r>
            <w:r w:rsidR="00D44F26">
              <w:rPr>
                <w:rFonts w:cs="Arial"/>
                <w:sz w:val="20"/>
                <w:szCs w:val="20"/>
              </w:rPr>
              <w:t>against</w:t>
            </w:r>
            <w:r w:rsidRPr="00E47C61">
              <w:rPr>
                <w:rFonts w:cs="Arial"/>
                <w:sz w:val="20"/>
                <w:szCs w:val="20"/>
              </w:rPr>
              <w:t xml:space="preserve"> the combination</w:t>
            </w:r>
            <w:r w:rsidR="00D44F26">
              <w:rPr>
                <w:rFonts w:cs="Arial"/>
                <w:sz w:val="20"/>
                <w:szCs w:val="20"/>
              </w:rPr>
              <w:t xml:space="preserve"> programmes prioritised workstreams and to assess and validate that the required financial savings are being realised in a way that will allow a balanced budget to be set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1602C" w:rsidRDefault="00B1602C" w:rsidP="00CF7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Resources and key roles have been identified </w:t>
            </w:r>
            <w:r w:rsidR="002E05AC">
              <w:rPr>
                <w:rFonts w:cs="Arial"/>
                <w:sz w:val="20"/>
                <w:szCs w:val="20"/>
              </w:rPr>
              <w:t>to support the delivery of the combination</w:t>
            </w:r>
            <w:r w:rsidR="00D44F26">
              <w:rPr>
                <w:rFonts w:cs="Arial"/>
                <w:sz w:val="20"/>
                <w:szCs w:val="20"/>
              </w:rPr>
              <w:t xml:space="preserve"> programme and transitional funding has been applied for to assist with this financial outlay</w:t>
            </w:r>
            <w:r w:rsidR="002E05A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2556FF" w:rsidRPr="007F1CC3" w:rsidRDefault="002556FF" w:rsidP="00D44F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E47C61">
              <w:rPr>
                <w:rFonts w:cs="Arial"/>
                <w:sz w:val="20"/>
                <w:szCs w:val="20"/>
              </w:rPr>
              <w:t xml:space="preserve"> </w:t>
            </w:r>
            <w:r w:rsidR="00D44F26">
              <w:rPr>
                <w:rFonts w:cs="Arial"/>
                <w:sz w:val="20"/>
                <w:szCs w:val="20"/>
              </w:rPr>
              <w:t xml:space="preserve">fully risk assessed and prioritised </w:t>
            </w:r>
            <w:r w:rsidR="00B1602C">
              <w:rPr>
                <w:rFonts w:cs="Arial"/>
                <w:sz w:val="20"/>
                <w:szCs w:val="20"/>
              </w:rPr>
              <w:t>combination programme</w:t>
            </w:r>
            <w:r w:rsidR="00D44F26">
              <w:rPr>
                <w:rFonts w:cs="Arial"/>
                <w:sz w:val="20"/>
                <w:szCs w:val="20"/>
              </w:rPr>
              <w:t xml:space="preserve"> will be developed that meets the financial thresholds that are required for the new Combined Fire Authority to set a balanced budget</w:t>
            </w:r>
            <w:r w:rsidR="00B1602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556FF" w:rsidRPr="00483E8B" w:rsidRDefault="00D17693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2556FF" w:rsidRPr="00483E8B" w:rsidRDefault="00D17693" w:rsidP="00D84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1134" w:type="dxa"/>
            <w:shd w:val="clear" w:color="auto" w:fill="FFC000"/>
          </w:tcPr>
          <w:p w:rsidR="002556FF" w:rsidRDefault="002556FF" w:rsidP="00104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56FF" w:rsidTr="00763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shd w:val="clear" w:color="auto" w:fill="FFFFFF" w:themeFill="background1"/>
          </w:tcPr>
          <w:p w:rsidR="002556FF" w:rsidRDefault="002556FF" w:rsidP="001044BA"/>
        </w:tc>
        <w:tc>
          <w:tcPr>
            <w:tcW w:w="4110" w:type="dxa"/>
          </w:tcPr>
          <w:p w:rsidR="002556FF" w:rsidRDefault="002556FF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4301">
              <w:rPr>
                <w:rFonts w:cs="Arial"/>
                <w:sz w:val="20"/>
                <w:szCs w:val="20"/>
              </w:rPr>
              <w:t>Changes to ICT infrastructure becomes complex and delayed</w:t>
            </w:r>
            <w:r w:rsidR="0026688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556FF" w:rsidRPr="007F1CC3" w:rsidRDefault="002556FF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Unknown issues presented by potential changes to ICT infrastructure; either from new or current systems could impact on timescales for delivery and </w:t>
            </w:r>
            <w:r w:rsidR="0019209A">
              <w:rPr>
                <w:rFonts w:cs="Arial"/>
                <w:sz w:val="20"/>
                <w:szCs w:val="20"/>
              </w:rPr>
              <w:t>require</w:t>
            </w:r>
            <w:r>
              <w:rPr>
                <w:rFonts w:cs="Arial"/>
                <w:sz w:val="20"/>
                <w:szCs w:val="20"/>
              </w:rPr>
              <w:t xml:space="preserve"> additional unbudgeted </w:t>
            </w:r>
            <w:r w:rsidR="0019209A">
              <w:rPr>
                <w:rFonts w:cs="Arial"/>
                <w:sz w:val="20"/>
                <w:szCs w:val="20"/>
              </w:rPr>
              <w:t xml:space="preserve">for </w:t>
            </w:r>
            <w:r>
              <w:rPr>
                <w:rFonts w:cs="Arial"/>
                <w:sz w:val="20"/>
                <w:szCs w:val="20"/>
              </w:rPr>
              <w:t>costs.</w:t>
            </w:r>
          </w:p>
        </w:tc>
        <w:tc>
          <w:tcPr>
            <w:tcW w:w="3119" w:type="dxa"/>
          </w:tcPr>
          <w:p w:rsidR="00CE473D" w:rsidRDefault="002556FF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 ICT specialist will form part of the central programme team. </w:t>
            </w:r>
          </w:p>
          <w:p w:rsidR="00AF6144" w:rsidRDefault="002556FF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tapered approach </w:t>
            </w:r>
            <w:r w:rsidR="0019209A">
              <w:rPr>
                <w:rFonts w:cs="Arial"/>
                <w:sz w:val="20"/>
                <w:szCs w:val="20"/>
              </w:rPr>
              <w:t>to ICT</w:t>
            </w:r>
            <w:r w:rsidR="00AF614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implementation will </w:t>
            </w:r>
            <w:r w:rsidR="0019209A">
              <w:rPr>
                <w:rFonts w:cs="Arial"/>
                <w:sz w:val="20"/>
                <w:szCs w:val="20"/>
              </w:rPr>
              <w:t>form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9209A">
              <w:rPr>
                <w:rFonts w:cs="Arial"/>
                <w:sz w:val="20"/>
                <w:szCs w:val="20"/>
              </w:rPr>
              <w:t xml:space="preserve">an integral part of the combination </w:t>
            </w:r>
            <w:r>
              <w:rPr>
                <w:rFonts w:cs="Arial"/>
                <w:sz w:val="20"/>
                <w:szCs w:val="20"/>
              </w:rPr>
              <w:t>programme</w:t>
            </w:r>
            <w:r w:rsidR="0019209A">
              <w:rPr>
                <w:rFonts w:cs="Arial"/>
                <w:sz w:val="20"/>
                <w:szCs w:val="20"/>
              </w:rPr>
              <w:t xml:space="preserve"> and this</w:t>
            </w:r>
            <w:r>
              <w:rPr>
                <w:rFonts w:cs="Arial"/>
                <w:sz w:val="20"/>
                <w:szCs w:val="20"/>
              </w:rPr>
              <w:t xml:space="preserve"> will be prioritised against risk, taking into consideration those systems which are suitable to work in tandem</w:t>
            </w:r>
            <w:r w:rsidR="0019209A">
              <w:rPr>
                <w:rFonts w:cs="Arial"/>
                <w:sz w:val="20"/>
                <w:szCs w:val="20"/>
              </w:rPr>
              <w:t xml:space="preserve"> during transition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2556FF" w:rsidRDefault="0019209A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funding to support the development and delivery of common ICT platforms forms part of the joint bid for government transformational funding.</w:t>
            </w:r>
          </w:p>
          <w:p w:rsidR="0019209A" w:rsidRPr="007F1CC3" w:rsidRDefault="0019209A" w:rsidP="00CF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Key decisions about software integration will be made during transition.</w:t>
            </w:r>
          </w:p>
        </w:tc>
        <w:tc>
          <w:tcPr>
            <w:tcW w:w="1134" w:type="dxa"/>
            <w:vAlign w:val="center"/>
          </w:tcPr>
          <w:p w:rsidR="002556FF" w:rsidRPr="00733D7C" w:rsidRDefault="00D17693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vAlign w:val="center"/>
          </w:tcPr>
          <w:p w:rsidR="002556FF" w:rsidRPr="00733D7C" w:rsidRDefault="00D17693" w:rsidP="00D84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FFC000"/>
          </w:tcPr>
          <w:p w:rsidR="002556FF" w:rsidRDefault="002556FF" w:rsidP="001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D28B0" w:rsidRDefault="00A5479D">
      <w:pPr>
        <w:rPr>
          <w:sz w:val="20"/>
        </w:rPr>
      </w:pPr>
      <w:r w:rsidRPr="00281B03">
        <w:rPr>
          <w:sz w:val="20"/>
        </w:rPr>
        <w:t>All the above r</w:t>
      </w:r>
      <w:r w:rsidR="00E10FE0" w:rsidRPr="00281B03">
        <w:rPr>
          <w:sz w:val="20"/>
        </w:rPr>
        <w:t>isk</w:t>
      </w:r>
      <w:r w:rsidRPr="00281B03">
        <w:rPr>
          <w:sz w:val="20"/>
        </w:rPr>
        <w:t>s are scored</w:t>
      </w:r>
      <w:r w:rsidR="00E10FE0" w:rsidRPr="00281B03">
        <w:rPr>
          <w:sz w:val="20"/>
        </w:rPr>
        <w:t xml:space="preserve"> at inherent level, without </w:t>
      </w:r>
      <w:r w:rsidRPr="00281B03">
        <w:rPr>
          <w:sz w:val="20"/>
        </w:rPr>
        <w:t xml:space="preserve">highlighted </w:t>
      </w:r>
      <w:r w:rsidR="0026688C">
        <w:rPr>
          <w:sz w:val="20"/>
        </w:rPr>
        <w:t>mitigations in place</w:t>
      </w:r>
      <w:r w:rsidR="00E10FE0" w:rsidRPr="00281B03">
        <w:rPr>
          <w:sz w:val="20"/>
        </w:rPr>
        <w:t xml:space="preserve">. </w:t>
      </w:r>
    </w:p>
    <w:p w:rsidR="00AF6144" w:rsidRDefault="00AF6144">
      <w:pPr>
        <w:rPr>
          <w:sz w:val="20"/>
        </w:rPr>
      </w:pPr>
    </w:p>
    <w:p w:rsidR="00AF6144" w:rsidRDefault="00AF6144">
      <w:pPr>
        <w:rPr>
          <w:sz w:val="20"/>
        </w:rPr>
      </w:pPr>
    </w:p>
    <w:p w:rsidR="00AF6144" w:rsidRPr="00281B03" w:rsidRDefault="00AF6144">
      <w:pPr>
        <w:rPr>
          <w:sz w:val="20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3669"/>
        <w:gridCol w:w="1529"/>
        <w:gridCol w:w="1600"/>
        <w:gridCol w:w="1600"/>
        <w:gridCol w:w="1600"/>
        <w:gridCol w:w="1600"/>
        <w:gridCol w:w="1600"/>
      </w:tblGrid>
      <w:tr w:rsidR="00ED28B0" w:rsidRPr="00ED28B0" w:rsidTr="001044BA">
        <w:trPr>
          <w:trHeight w:val="402"/>
        </w:trPr>
        <w:tc>
          <w:tcPr>
            <w:tcW w:w="2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Impact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Very High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D28B0" w:rsidRPr="00ED28B0" w:rsidTr="001044BA">
        <w:trPr>
          <w:trHeight w:val="402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High 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ED28B0" w:rsidRPr="00ED28B0" w:rsidTr="001044BA">
        <w:trPr>
          <w:trHeight w:val="402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Medium 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ED28B0" w:rsidRPr="00ED28B0" w:rsidTr="001044BA">
        <w:trPr>
          <w:trHeight w:val="402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Low 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D28B0" w:rsidRPr="00ED28B0" w:rsidTr="001044BA">
        <w:trPr>
          <w:trHeight w:val="402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Very Low 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ED28B0" w:rsidRPr="00ED28B0" w:rsidTr="001044BA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Very Low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Low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Medium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High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B0" w:rsidRPr="00ED28B0" w:rsidRDefault="00ED28B0" w:rsidP="00ED28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ED28B0">
              <w:rPr>
                <w:rFonts w:eastAsia="Times New Roman" w:cs="Arial"/>
                <w:color w:val="000000"/>
                <w:szCs w:val="24"/>
                <w:lang w:eastAsia="en-GB"/>
              </w:rPr>
              <w:t>Very High</w:t>
            </w:r>
          </w:p>
        </w:tc>
      </w:tr>
    </w:tbl>
    <w:p w:rsidR="002F2C7A" w:rsidRDefault="002F2C7A"/>
    <w:sectPr w:rsidR="002F2C7A" w:rsidSect="004B2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3F" w:rsidRDefault="00A60A3F" w:rsidP="00890C59">
      <w:pPr>
        <w:spacing w:after="0" w:line="240" w:lineRule="auto"/>
      </w:pPr>
      <w:r>
        <w:separator/>
      </w:r>
    </w:p>
  </w:endnote>
  <w:endnote w:type="continuationSeparator" w:id="0">
    <w:p w:rsidR="00A60A3F" w:rsidRDefault="00A60A3F" w:rsidP="0089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6" w:rsidRDefault="00BE2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F" w:rsidRPr="00890C59" w:rsidRDefault="00CF0F0D" w:rsidP="00CF0F0D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>
      <w:rPr>
        <w:rFonts w:cs="Arial"/>
        <w:b/>
        <w:color w:val="000000"/>
      </w:rPr>
      <w:t xml:space="preserve"> PROTECT</w:t>
    </w:r>
    <w:r>
      <w:rPr>
        <w:rFonts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6" w:rsidRDefault="00BE2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3F" w:rsidRDefault="00A60A3F" w:rsidP="00890C59">
      <w:pPr>
        <w:spacing w:after="0" w:line="240" w:lineRule="auto"/>
      </w:pPr>
      <w:r>
        <w:separator/>
      </w:r>
    </w:p>
  </w:footnote>
  <w:footnote w:type="continuationSeparator" w:id="0">
    <w:p w:rsidR="00A60A3F" w:rsidRDefault="00A60A3F" w:rsidP="0089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6" w:rsidRDefault="00BE2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F" w:rsidRPr="00890C59" w:rsidRDefault="00CF0F0D" w:rsidP="00CF0F0D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>
      <w:rPr>
        <w:rFonts w:cs="Arial"/>
        <w:b/>
        <w:color w:val="000000"/>
      </w:rPr>
      <w:t xml:space="preserve"> PROTECT</w:t>
    </w:r>
    <w:r>
      <w:rPr>
        <w:rFonts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6" w:rsidRDefault="00BE2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59"/>
    <w:rsid w:val="00001B1C"/>
    <w:rsid w:val="000065F3"/>
    <w:rsid w:val="0001584D"/>
    <w:rsid w:val="000414BE"/>
    <w:rsid w:val="00045308"/>
    <w:rsid w:val="00046097"/>
    <w:rsid w:val="00055D4B"/>
    <w:rsid w:val="000573A2"/>
    <w:rsid w:val="00060007"/>
    <w:rsid w:val="00060D72"/>
    <w:rsid w:val="00067874"/>
    <w:rsid w:val="0006792B"/>
    <w:rsid w:val="00077B68"/>
    <w:rsid w:val="00090A58"/>
    <w:rsid w:val="000A0D3A"/>
    <w:rsid w:val="000A15B4"/>
    <w:rsid w:val="000A210E"/>
    <w:rsid w:val="000A217D"/>
    <w:rsid w:val="000A761A"/>
    <w:rsid w:val="000B7098"/>
    <w:rsid w:val="000B7FE5"/>
    <w:rsid w:val="000C075B"/>
    <w:rsid w:val="000C15F0"/>
    <w:rsid w:val="000C7989"/>
    <w:rsid w:val="000D3ECE"/>
    <w:rsid w:val="000E3853"/>
    <w:rsid w:val="000F63CF"/>
    <w:rsid w:val="000F75F7"/>
    <w:rsid w:val="00103471"/>
    <w:rsid w:val="00104153"/>
    <w:rsid w:val="001044BA"/>
    <w:rsid w:val="001046B2"/>
    <w:rsid w:val="00105430"/>
    <w:rsid w:val="001116D4"/>
    <w:rsid w:val="00113173"/>
    <w:rsid w:val="00115CC3"/>
    <w:rsid w:val="001202D0"/>
    <w:rsid w:val="00123ED5"/>
    <w:rsid w:val="00126365"/>
    <w:rsid w:val="00130BD1"/>
    <w:rsid w:val="00137C32"/>
    <w:rsid w:val="001621F7"/>
    <w:rsid w:val="0016474D"/>
    <w:rsid w:val="0016697E"/>
    <w:rsid w:val="0019209A"/>
    <w:rsid w:val="001B0548"/>
    <w:rsid w:val="001B48FA"/>
    <w:rsid w:val="001C32BC"/>
    <w:rsid w:val="001C42E3"/>
    <w:rsid w:val="001D0C99"/>
    <w:rsid w:val="001E0A96"/>
    <w:rsid w:val="001E0F8B"/>
    <w:rsid w:val="001E27C7"/>
    <w:rsid w:val="001F57DF"/>
    <w:rsid w:val="001F69FA"/>
    <w:rsid w:val="002000B1"/>
    <w:rsid w:val="002173C3"/>
    <w:rsid w:val="00231A14"/>
    <w:rsid w:val="0023298D"/>
    <w:rsid w:val="0023461C"/>
    <w:rsid w:val="00237E25"/>
    <w:rsid w:val="0024643C"/>
    <w:rsid w:val="00250718"/>
    <w:rsid w:val="00251E98"/>
    <w:rsid w:val="00252CDD"/>
    <w:rsid w:val="00253ACA"/>
    <w:rsid w:val="00254AF9"/>
    <w:rsid w:val="002556FF"/>
    <w:rsid w:val="00257F77"/>
    <w:rsid w:val="0026688C"/>
    <w:rsid w:val="00266FF1"/>
    <w:rsid w:val="002670AC"/>
    <w:rsid w:val="00267A01"/>
    <w:rsid w:val="00281770"/>
    <w:rsid w:val="00281B03"/>
    <w:rsid w:val="00286AC9"/>
    <w:rsid w:val="002A13CE"/>
    <w:rsid w:val="002A306B"/>
    <w:rsid w:val="002A55FE"/>
    <w:rsid w:val="002A5CBA"/>
    <w:rsid w:val="002A7EDF"/>
    <w:rsid w:val="002A7F65"/>
    <w:rsid w:val="002B1121"/>
    <w:rsid w:val="002B1ECC"/>
    <w:rsid w:val="002B2E3A"/>
    <w:rsid w:val="002B3A96"/>
    <w:rsid w:val="002B748B"/>
    <w:rsid w:val="002C3BC3"/>
    <w:rsid w:val="002C605E"/>
    <w:rsid w:val="002E05AC"/>
    <w:rsid w:val="002E158D"/>
    <w:rsid w:val="002E7455"/>
    <w:rsid w:val="002F2C7A"/>
    <w:rsid w:val="002F50E3"/>
    <w:rsid w:val="002F6ACA"/>
    <w:rsid w:val="00302144"/>
    <w:rsid w:val="00304C9B"/>
    <w:rsid w:val="0030794A"/>
    <w:rsid w:val="003079D1"/>
    <w:rsid w:val="00307D78"/>
    <w:rsid w:val="00315CF5"/>
    <w:rsid w:val="003174CD"/>
    <w:rsid w:val="00324B3A"/>
    <w:rsid w:val="00324EE9"/>
    <w:rsid w:val="0032579F"/>
    <w:rsid w:val="00325C04"/>
    <w:rsid w:val="00341AB2"/>
    <w:rsid w:val="00345CAD"/>
    <w:rsid w:val="003524E7"/>
    <w:rsid w:val="00360A57"/>
    <w:rsid w:val="003616BA"/>
    <w:rsid w:val="00364900"/>
    <w:rsid w:val="00371211"/>
    <w:rsid w:val="003773AB"/>
    <w:rsid w:val="00383627"/>
    <w:rsid w:val="00385DC4"/>
    <w:rsid w:val="00386650"/>
    <w:rsid w:val="003A3D8D"/>
    <w:rsid w:val="003A46A1"/>
    <w:rsid w:val="003C1C6B"/>
    <w:rsid w:val="003D13D7"/>
    <w:rsid w:val="003D48EB"/>
    <w:rsid w:val="003E0953"/>
    <w:rsid w:val="003E17F2"/>
    <w:rsid w:val="003E1C27"/>
    <w:rsid w:val="003F411E"/>
    <w:rsid w:val="003F7A2B"/>
    <w:rsid w:val="0040084F"/>
    <w:rsid w:val="0040503A"/>
    <w:rsid w:val="00406D24"/>
    <w:rsid w:val="00411D06"/>
    <w:rsid w:val="004264F1"/>
    <w:rsid w:val="0042757F"/>
    <w:rsid w:val="004275D7"/>
    <w:rsid w:val="00430A2D"/>
    <w:rsid w:val="0043190D"/>
    <w:rsid w:val="0043502B"/>
    <w:rsid w:val="00436DAA"/>
    <w:rsid w:val="00437272"/>
    <w:rsid w:val="00444551"/>
    <w:rsid w:val="00453B09"/>
    <w:rsid w:val="0046112C"/>
    <w:rsid w:val="00462804"/>
    <w:rsid w:val="004639D4"/>
    <w:rsid w:val="00472A8D"/>
    <w:rsid w:val="00476C75"/>
    <w:rsid w:val="00483E8B"/>
    <w:rsid w:val="004858A8"/>
    <w:rsid w:val="00486F42"/>
    <w:rsid w:val="00490644"/>
    <w:rsid w:val="0049092E"/>
    <w:rsid w:val="00496B4B"/>
    <w:rsid w:val="004A3148"/>
    <w:rsid w:val="004B2208"/>
    <w:rsid w:val="004C3A41"/>
    <w:rsid w:val="004D3EE8"/>
    <w:rsid w:val="004D5602"/>
    <w:rsid w:val="004E1BA6"/>
    <w:rsid w:val="004E6819"/>
    <w:rsid w:val="004F2BDE"/>
    <w:rsid w:val="004F7C74"/>
    <w:rsid w:val="00501312"/>
    <w:rsid w:val="00504D11"/>
    <w:rsid w:val="005079C0"/>
    <w:rsid w:val="0051090F"/>
    <w:rsid w:val="00510A1A"/>
    <w:rsid w:val="005122A1"/>
    <w:rsid w:val="0053013F"/>
    <w:rsid w:val="00540A86"/>
    <w:rsid w:val="005543FE"/>
    <w:rsid w:val="00562083"/>
    <w:rsid w:val="00565421"/>
    <w:rsid w:val="00572C6F"/>
    <w:rsid w:val="005760D6"/>
    <w:rsid w:val="00586E5A"/>
    <w:rsid w:val="005B3301"/>
    <w:rsid w:val="005C7C39"/>
    <w:rsid w:val="005D0E99"/>
    <w:rsid w:val="005D3BF5"/>
    <w:rsid w:val="005E079B"/>
    <w:rsid w:val="005E21B6"/>
    <w:rsid w:val="005E7D87"/>
    <w:rsid w:val="005F2C45"/>
    <w:rsid w:val="005F53F3"/>
    <w:rsid w:val="006019E8"/>
    <w:rsid w:val="00603763"/>
    <w:rsid w:val="00606526"/>
    <w:rsid w:val="0060782C"/>
    <w:rsid w:val="00613446"/>
    <w:rsid w:val="00615DFA"/>
    <w:rsid w:val="00616767"/>
    <w:rsid w:val="006176B3"/>
    <w:rsid w:val="006210A0"/>
    <w:rsid w:val="0062344D"/>
    <w:rsid w:val="00634268"/>
    <w:rsid w:val="006365E7"/>
    <w:rsid w:val="00636C97"/>
    <w:rsid w:val="00653771"/>
    <w:rsid w:val="006559CA"/>
    <w:rsid w:val="00665BD6"/>
    <w:rsid w:val="00667008"/>
    <w:rsid w:val="006712AC"/>
    <w:rsid w:val="00676B1C"/>
    <w:rsid w:val="006820F3"/>
    <w:rsid w:val="006852C3"/>
    <w:rsid w:val="00694EB8"/>
    <w:rsid w:val="00695665"/>
    <w:rsid w:val="006967B0"/>
    <w:rsid w:val="006A24AD"/>
    <w:rsid w:val="006B0BC7"/>
    <w:rsid w:val="006B5E25"/>
    <w:rsid w:val="006B5F00"/>
    <w:rsid w:val="006B7F5F"/>
    <w:rsid w:val="006C4A28"/>
    <w:rsid w:val="006C7E4F"/>
    <w:rsid w:val="006D31F6"/>
    <w:rsid w:val="006E0939"/>
    <w:rsid w:val="007214EC"/>
    <w:rsid w:val="00725408"/>
    <w:rsid w:val="00730243"/>
    <w:rsid w:val="00733AD0"/>
    <w:rsid w:val="00733D7C"/>
    <w:rsid w:val="00740E87"/>
    <w:rsid w:val="00745FCE"/>
    <w:rsid w:val="00751AA0"/>
    <w:rsid w:val="0076098B"/>
    <w:rsid w:val="00762657"/>
    <w:rsid w:val="00763E39"/>
    <w:rsid w:val="00771A08"/>
    <w:rsid w:val="00780BB3"/>
    <w:rsid w:val="00781E92"/>
    <w:rsid w:val="007826D1"/>
    <w:rsid w:val="0078312E"/>
    <w:rsid w:val="007935B6"/>
    <w:rsid w:val="00797636"/>
    <w:rsid w:val="007A3B64"/>
    <w:rsid w:val="007A52FD"/>
    <w:rsid w:val="007A6E80"/>
    <w:rsid w:val="007C7B3A"/>
    <w:rsid w:val="007D288F"/>
    <w:rsid w:val="007E1786"/>
    <w:rsid w:val="007E34DC"/>
    <w:rsid w:val="007E41B5"/>
    <w:rsid w:val="007E50CB"/>
    <w:rsid w:val="007F01C8"/>
    <w:rsid w:val="007F025F"/>
    <w:rsid w:val="007F1CC3"/>
    <w:rsid w:val="008002C7"/>
    <w:rsid w:val="008033A9"/>
    <w:rsid w:val="00806E27"/>
    <w:rsid w:val="008128B2"/>
    <w:rsid w:val="008155C8"/>
    <w:rsid w:val="008165F5"/>
    <w:rsid w:val="00823DE1"/>
    <w:rsid w:val="00825F7F"/>
    <w:rsid w:val="0083431D"/>
    <w:rsid w:val="008522A3"/>
    <w:rsid w:val="0085463D"/>
    <w:rsid w:val="0085627E"/>
    <w:rsid w:val="00864C7E"/>
    <w:rsid w:val="008852B1"/>
    <w:rsid w:val="00890C59"/>
    <w:rsid w:val="00890D6F"/>
    <w:rsid w:val="0089710B"/>
    <w:rsid w:val="008A103F"/>
    <w:rsid w:val="008A1305"/>
    <w:rsid w:val="008A31AE"/>
    <w:rsid w:val="008A446A"/>
    <w:rsid w:val="008B7D73"/>
    <w:rsid w:val="008C45E2"/>
    <w:rsid w:val="008C7631"/>
    <w:rsid w:val="008D04C4"/>
    <w:rsid w:val="008D5512"/>
    <w:rsid w:val="008E6736"/>
    <w:rsid w:val="00900118"/>
    <w:rsid w:val="009056AE"/>
    <w:rsid w:val="00910660"/>
    <w:rsid w:val="009111C5"/>
    <w:rsid w:val="009146C8"/>
    <w:rsid w:val="00914D63"/>
    <w:rsid w:val="00917FB9"/>
    <w:rsid w:val="0092162D"/>
    <w:rsid w:val="00922E3F"/>
    <w:rsid w:val="00923812"/>
    <w:rsid w:val="0093022D"/>
    <w:rsid w:val="0093303A"/>
    <w:rsid w:val="0093696E"/>
    <w:rsid w:val="00940318"/>
    <w:rsid w:val="00940B7F"/>
    <w:rsid w:val="00942BEE"/>
    <w:rsid w:val="0094733A"/>
    <w:rsid w:val="00952ED5"/>
    <w:rsid w:val="00954E6B"/>
    <w:rsid w:val="00971A74"/>
    <w:rsid w:val="00982920"/>
    <w:rsid w:val="00984178"/>
    <w:rsid w:val="0098622F"/>
    <w:rsid w:val="009A2A17"/>
    <w:rsid w:val="009B7C51"/>
    <w:rsid w:val="009C41C8"/>
    <w:rsid w:val="009C4B43"/>
    <w:rsid w:val="009C5AEE"/>
    <w:rsid w:val="009E0ABE"/>
    <w:rsid w:val="009E1E4E"/>
    <w:rsid w:val="009F2754"/>
    <w:rsid w:val="009F5A7F"/>
    <w:rsid w:val="00A01C12"/>
    <w:rsid w:val="00A026CE"/>
    <w:rsid w:val="00A06075"/>
    <w:rsid w:val="00A060E1"/>
    <w:rsid w:val="00A07A43"/>
    <w:rsid w:val="00A07B9A"/>
    <w:rsid w:val="00A14CEC"/>
    <w:rsid w:val="00A176FD"/>
    <w:rsid w:val="00A21187"/>
    <w:rsid w:val="00A24026"/>
    <w:rsid w:val="00A279B6"/>
    <w:rsid w:val="00A30537"/>
    <w:rsid w:val="00A3469B"/>
    <w:rsid w:val="00A428EE"/>
    <w:rsid w:val="00A5479D"/>
    <w:rsid w:val="00A5586F"/>
    <w:rsid w:val="00A60A3F"/>
    <w:rsid w:val="00A647F7"/>
    <w:rsid w:val="00A65930"/>
    <w:rsid w:val="00A7780D"/>
    <w:rsid w:val="00A915FD"/>
    <w:rsid w:val="00A91E85"/>
    <w:rsid w:val="00AA09EF"/>
    <w:rsid w:val="00AA3BA4"/>
    <w:rsid w:val="00AA47F8"/>
    <w:rsid w:val="00AB0888"/>
    <w:rsid w:val="00AC1FCB"/>
    <w:rsid w:val="00AD38ED"/>
    <w:rsid w:val="00AD4B79"/>
    <w:rsid w:val="00AD5596"/>
    <w:rsid w:val="00AD6F4F"/>
    <w:rsid w:val="00AF0429"/>
    <w:rsid w:val="00AF0453"/>
    <w:rsid w:val="00AF2987"/>
    <w:rsid w:val="00AF50C6"/>
    <w:rsid w:val="00AF6144"/>
    <w:rsid w:val="00B0533D"/>
    <w:rsid w:val="00B07297"/>
    <w:rsid w:val="00B10354"/>
    <w:rsid w:val="00B1602C"/>
    <w:rsid w:val="00B2096F"/>
    <w:rsid w:val="00B24AD4"/>
    <w:rsid w:val="00B32049"/>
    <w:rsid w:val="00B32280"/>
    <w:rsid w:val="00B3442A"/>
    <w:rsid w:val="00B376F6"/>
    <w:rsid w:val="00B41095"/>
    <w:rsid w:val="00B41ECC"/>
    <w:rsid w:val="00B55F70"/>
    <w:rsid w:val="00B64162"/>
    <w:rsid w:val="00B72062"/>
    <w:rsid w:val="00B85001"/>
    <w:rsid w:val="00B86A0F"/>
    <w:rsid w:val="00B954AE"/>
    <w:rsid w:val="00BA71C0"/>
    <w:rsid w:val="00BC1CD1"/>
    <w:rsid w:val="00BC2806"/>
    <w:rsid w:val="00BD0140"/>
    <w:rsid w:val="00BD122E"/>
    <w:rsid w:val="00BD1FD1"/>
    <w:rsid w:val="00BD39CA"/>
    <w:rsid w:val="00BD5D56"/>
    <w:rsid w:val="00BD79D7"/>
    <w:rsid w:val="00BE130D"/>
    <w:rsid w:val="00BE2B86"/>
    <w:rsid w:val="00BF638C"/>
    <w:rsid w:val="00C01BBE"/>
    <w:rsid w:val="00C1382E"/>
    <w:rsid w:val="00C14A8A"/>
    <w:rsid w:val="00C21AF7"/>
    <w:rsid w:val="00C45295"/>
    <w:rsid w:val="00C467CE"/>
    <w:rsid w:val="00C56DE2"/>
    <w:rsid w:val="00C66245"/>
    <w:rsid w:val="00C72282"/>
    <w:rsid w:val="00C779C2"/>
    <w:rsid w:val="00CA0A19"/>
    <w:rsid w:val="00CB299B"/>
    <w:rsid w:val="00CC183C"/>
    <w:rsid w:val="00CC6F11"/>
    <w:rsid w:val="00CD6779"/>
    <w:rsid w:val="00CD71D5"/>
    <w:rsid w:val="00CE473D"/>
    <w:rsid w:val="00CF02EB"/>
    <w:rsid w:val="00CF0F0D"/>
    <w:rsid w:val="00D10EB3"/>
    <w:rsid w:val="00D1728C"/>
    <w:rsid w:val="00D17693"/>
    <w:rsid w:val="00D23162"/>
    <w:rsid w:val="00D24F6F"/>
    <w:rsid w:val="00D44F26"/>
    <w:rsid w:val="00D545B1"/>
    <w:rsid w:val="00D57673"/>
    <w:rsid w:val="00D602D3"/>
    <w:rsid w:val="00D63AE3"/>
    <w:rsid w:val="00D66AE5"/>
    <w:rsid w:val="00D67C27"/>
    <w:rsid w:val="00D80E51"/>
    <w:rsid w:val="00D84371"/>
    <w:rsid w:val="00D844D1"/>
    <w:rsid w:val="00D84DCE"/>
    <w:rsid w:val="00D8782C"/>
    <w:rsid w:val="00D940E6"/>
    <w:rsid w:val="00D97C33"/>
    <w:rsid w:val="00DA0436"/>
    <w:rsid w:val="00DB2BB1"/>
    <w:rsid w:val="00DC3FC9"/>
    <w:rsid w:val="00DD06B3"/>
    <w:rsid w:val="00DD2DF3"/>
    <w:rsid w:val="00DF6251"/>
    <w:rsid w:val="00E02694"/>
    <w:rsid w:val="00E03DE0"/>
    <w:rsid w:val="00E10FE0"/>
    <w:rsid w:val="00E1210F"/>
    <w:rsid w:val="00E12CD8"/>
    <w:rsid w:val="00E169C4"/>
    <w:rsid w:val="00E16C76"/>
    <w:rsid w:val="00E1754A"/>
    <w:rsid w:val="00E20947"/>
    <w:rsid w:val="00E4316F"/>
    <w:rsid w:val="00E43A57"/>
    <w:rsid w:val="00E45547"/>
    <w:rsid w:val="00E47C61"/>
    <w:rsid w:val="00E5064E"/>
    <w:rsid w:val="00E51721"/>
    <w:rsid w:val="00E54188"/>
    <w:rsid w:val="00E667BC"/>
    <w:rsid w:val="00E738D5"/>
    <w:rsid w:val="00E74C02"/>
    <w:rsid w:val="00E825A6"/>
    <w:rsid w:val="00E83790"/>
    <w:rsid w:val="00E90EFA"/>
    <w:rsid w:val="00E965B0"/>
    <w:rsid w:val="00EA0ADC"/>
    <w:rsid w:val="00EA1730"/>
    <w:rsid w:val="00EA3D4E"/>
    <w:rsid w:val="00EA46DD"/>
    <w:rsid w:val="00EA606B"/>
    <w:rsid w:val="00EA63B4"/>
    <w:rsid w:val="00EC0278"/>
    <w:rsid w:val="00EC39D8"/>
    <w:rsid w:val="00ED2116"/>
    <w:rsid w:val="00ED28B0"/>
    <w:rsid w:val="00EE5740"/>
    <w:rsid w:val="00F00FDD"/>
    <w:rsid w:val="00F0208B"/>
    <w:rsid w:val="00F073B9"/>
    <w:rsid w:val="00F10D25"/>
    <w:rsid w:val="00F216B4"/>
    <w:rsid w:val="00F226C0"/>
    <w:rsid w:val="00F30D59"/>
    <w:rsid w:val="00F31725"/>
    <w:rsid w:val="00F43905"/>
    <w:rsid w:val="00F46BFF"/>
    <w:rsid w:val="00F4784B"/>
    <w:rsid w:val="00F50B15"/>
    <w:rsid w:val="00F511E5"/>
    <w:rsid w:val="00F5219D"/>
    <w:rsid w:val="00F57BE4"/>
    <w:rsid w:val="00F65434"/>
    <w:rsid w:val="00F6640B"/>
    <w:rsid w:val="00F67873"/>
    <w:rsid w:val="00F700BE"/>
    <w:rsid w:val="00F70EDA"/>
    <w:rsid w:val="00F718E9"/>
    <w:rsid w:val="00F86949"/>
    <w:rsid w:val="00FA257F"/>
    <w:rsid w:val="00FA69C1"/>
    <w:rsid w:val="00FB4301"/>
    <w:rsid w:val="00FB4E29"/>
    <w:rsid w:val="00FC3AD8"/>
    <w:rsid w:val="00FC7698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A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397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A8"/>
    <w:rPr>
      <w:rFonts w:ascii="Arial" w:eastAsiaTheme="majorEastAsia" w:hAnsi="Arial" w:cstheme="majorBidi"/>
      <w:b/>
      <w:bCs/>
      <w:color w:val="00397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5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9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5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C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D878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D878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D878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1C32BC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1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1C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A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397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A8"/>
    <w:rPr>
      <w:rFonts w:ascii="Arial" w:eastAsiaTheme="majorEastAsia" w:hAnsi="Arial" w:cstheme="majorBidi"/>
      <w:b/>
      <w:bCs/>
      <w:color w:val="00397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5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9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5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C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D878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D878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D878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1C32BC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1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1C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18455a8-4938-4883-8194-69bbfa3b62a9">
  <element uid="id_protective_marking_protect" value=""/>
  <element uid="82fb38bc-890e-4432-baa2-372190a75e0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C7BC-00E3-4A00-9BD5-29BA4B02AD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BE234A-7094-4518-BB4E-FA80CEBF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WFRS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9</cp:revision>
  <dcterms:created xsi:type="dcterms:W3CDTF">2014-10-09T09:06:00Z</dcterms:created>
  <dcterms:modified xsi:type="dcterms:W3CDTF">2014-10-09T09:24:00Z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02aa9d38-808c-48f4-b011-386c71906807</vt:lpwstr>
  </property>
  <property fmtid="{D5CDD505-2E9C-101B-9397-08002B2CF9AE}" pid="3" name="bjSaver">
    <vt:lpwstr>2Y9O+8sI1AIgaFyPbQUE2i7WGyWoWj9G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policy="318455a8-4938-4883-8194-69bbfa3b62a9" xmlns="http://www.boldonjames.com/2008/01/sie/internal/label"&gt;  &lt;el</vt:lpwstr>
  </property>
  <property fmtid="{D5CDD505-2E9C-101B-9397-08002B2CF9AE}" pid="5" name="bjDocumentLabelXML-0">
    <vt:lpwstr>ement uid="id_protective_marking_protect" value="" /&gt;  &lt;element uid="82fb38bc-890e-4432-baa2-372190a75e0c" value="" /&gt;&lt;/sisl&gt;</vt:lpwstr>
  </property>
  <property fmtid="{D5CDD505-2E9C-101B-9397-08002B2CF9AE}" pid="6" name="bjDocumentSecurityLabel">
    <vt:lpwstr> PROTECT</vt:lpwstr>
  </property>
  <property fmtid="{D5CDD505-2E9C-101B-9397-08002B2CF9AE}" pid="7" name="ProtectiveMarking">
    <vt:lpwstr> PROTECT</vt:lpwstr>
  </property>
  <property fmtid="{D5CDD505-2E9C-101B-9397-08002B2CF9AE}" pid="8" name="FRS-ProtectiveMarking">
    <vt:lpwstr>[WILTS-FRS/PROTECT]</vt:lpwstr>
  </property>
  <property fmtid="{D5CDD505-2E9C-101B-9397-08002B2CF9AE}" pid="9" name="bjFooterBothDocProperty">
    <vt:lpwstr> PROTECT</vt:lpwstr>
  </property>
  <property fmtid="{D5CDD505-2E9C-101B-9397-08002B2CF9AE}" pid="10" name="bjHeaderBothDocProperty">
    <vt:lpwstr> PROTECT</vt:lpwstr>
  </property>
</Properties>
</file>